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23" w:rsidRDefault="00AF0BF1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CTRCG/001/2019</w:t>
      </w:r>
    </w:p>
    <w:p w:rsidR="00E86D23" w:rsidRPr="00206390" w:rsidRDefault="00AF0BF1" w:rsidP="007E58FC">
      <w:pPr>
        <w:pStyle w:val="Ttulo1"/>
        <w:spacing w:line="276" w:lineRule="auto"/>
        <w:rPr>
          <w:sz w:val="24"/>
          <w:szCs w:val="24"/>
        </w:rPr>
      </w:pPr>
      <w:bookmarkStart w:id="1" w:name="__RefHeading___Toc135_2441156026"/>
      <w:bookmarkEnd w:id="1"/>
      <w:r w:rsidRPr="009B5E06">
        <w:rPr>
          <w:sz w:val="24"/>
          <w:szCs w:val="24"/>
        </w:rPr>
        <w:t>ACUERDO DE LA COMISIÓN TEMPORAL DE REGLAMENTOS, POR MEDIO DEL CUAL SE ESTABLECE LA</w:t>
      </w:r>
      <w:r w:rsidR="00A53DBF" w:rsidRPr="009B5E06">
        <w:rPr>
          <w:sz w:val="24"/>
          <w:szCs w:val="24"/>
        </w:rPr>
        <w:t xml:space="preserve"> </w:t>
      </w:r>
      <w:r w:rsidR="001B5A6B" w:rsidRPr="009B5E06">
        <w:rPr>
          <w:sz w:val="24"/>
          <w:szCs w:val="24"/>
        </w:rPr>
        <w:t>CONFORMACIÓN DE LOS GRUPOS DE TRABAJO</w:t>
      </w:r>
      <w:r w:rsidR="00181C20" w:rsidRPr="009B5E06">
        <w:rPr>
          <w:sz w:val="24"/>
          <w:szCs w:val="24"/>
        </w:rPr>
        <w:t xml:space="preserve">, </w:t>
      </w:r>
      <w:r w:rsidR="00E64A05" w:rsidRPr="00206390">
        <w:rPr>
          <w:sz w:val="24"/>
          <w:szCs w:val="24"/>
        </w:rPr>
        <w:t>L</w:t>
      </w:r>
      <w:r w:rsidR="00181C20" w:rsidRPr="00206390">
        <w:rPr>
          <w:sz w:val="24"/>
          <w:szCs w:val="24"/>
        </w:rPr>
        <w:t>A</w:t>
      </w:r>
      <w:r w:rsidR="00E64A05" w:rsidRPr="00206390">
        <w:rPr>
          <w:sz w:val="24"/>
          <w:szCs w:val="24"/>
        </w:rPr>
        <w:t xml:space="preserve"> </w:t>
      </w:r>
      <w:r w:rsidR="00181C20" w:rsidRPr="00206390">
        <w:rPr>
          <w:sz w:val="24"/>
          <w:szCs w:val="24"/>
        </w:rPr>
        <w:t xml:space="preserve">GUÍA PARA LA ELABORACIÓN DE ANTEPROYECTOS DE REFORMA O ADICIONES A LOS DOCUMENTOS NORMATIVOS DEL </w:t>
      </w:r>
      <w:r w:rsidR="00F2664C" w:rsidRPr="00206390">
        <w:rPr>
          <w:sz w:val="24"/>
          <w:szCs w:val="24"/>
        </w:rPr>
        <w:t>I</w:t>
      </w:r>
      <w:r w:rsidR="001B5A6B" w:rsidRPr="00206390">
        <w:rPr>
          <w:sz w:val="24"/>
          <w:szCs w:val="24"/>
        </w:rPr>
        <w:t xml:space="preserve">NSTITUTO </w:t>
      </w:r>
      <w:r w:rsidR="00F2664C" w:rsidRPr="00206390">
        <w:rPr>
          <w:sz w:val="24"/>
          <w:szCs w:val="24"/>
        </w:rPr>
        <w:t>E</w:t>
      </w:r>
      <w:r w:rsidR="001B5A6B" w:rsidRPr="00206390">
        <w:rPr>
          <w:sz w:val="24"/>
          <w:szCs w:val="24"/>
        </w:rPr>
        <w:t xml:space="preserve">LECTORAL Y DE </w:t>
      </w:r>
      <w:r w:rsidR="00F2664C" w:rsidRPr="00206390">
        <w:rPr>
          <w:sz w:val="24"/>
          <w:szCs w:val="24"/>
        </w:rPr>
        <w:t>P</w:t>
      </w:r>
      <w:r w:rsidR="001B5A6B" w:rsidRPr="00206390">
        <w:rPr>
          <w:sz w:val="24"/>
          <w:szCs w:val="24"/>
        </w:rPr>
        <w:t xml:space="preserve">ARTICIPACIÓN </w:t>
      </w:r>
      <w:r w:rsidR="00F2664C" w:rsidRPr="00206390">
        <w:rPr>
          <w:sz w:val="24"/>
          <w:szCs w:val="24"/>
        </w:rPr>
        <w:t>C</w:t>
      </w:r>
      <w:r w:rsidR="001B5A6B" w:rsidRPr="00206390">
        <w:rPr>
          <w:sz w:val="24"/>
          <w:szCs w:val="24"/>
        </w:rPr>
        <w:t>IUDADANA DE YUCATÁN</w:t>
      </w:r>
      <w:r w:rsidR="00181C20" w:rsidRPr="00206390">
        <w:rPr>
          <w:sz w:val="24"/>
          <w:szCs w:val="24"/>
        </w:rPr>
        <w:t xml:space="preserve">, ASÍ COMO </w:t>
      </w:r>
      <w:r w:rsidR="00AA091D" w:rsidRPr="00206390">
        <w:rPr>
          <w:sz w:val="24"/>
          <w:szCs w:val="24"/>
        </w:rPr>
        <w:t xml:space="preserve">EL CUADRO COMPARATIVO </w:t>
      </w:r>
      <w:r w:rsidR="00181C20" w:rsidRPr="00206390">
        <w:rPr>
          <w:sz w:val="24"/>
          <w:szCs w:val="24"/>
        </w:rPr>
        <w:t xml:space="preserve">A EMPLEAR </w:t>
      </w:r>
      <w:r w:rsidR="00AA091D" w:rsidRPr="00206390">
        <w:rPr>
          <w:sz w:val="24"/>
          <w:szCs w:val="24"/>
        </w:rPr>
        <w:t>POR LOS GRUPOS DE TRABAJO PARA REALIZAR LAS PROPUESTAS DE REFORMA A NORMAS REGLAMENTARIAS</w:t>
      </w:r>
      <w:r w:rsidR="00F2664C" w:rsidRPr="00206390">
        <w:rPr>
          <w:sz w:val="24"/>
          <w:szCs w:val="24"/>
        </w:rPr>
        <w:t>.</w:t>
      </w:r>
    </w:p>
    <w:p w:rsidR="00E86D23" w:rsidRDefault="00AF0BF1">
      <w:pPr>
        <w:pStyle w:val="Ttulo2"/>
      </w:pPr>
      <w:bookmarkStart w:id="2" w:name="__RefHeading___Toc137_2441156026"/>
      <w:bookmarkEnd w:id="2"/>
      <w:r>
        <w:t>GLOSARIO</w:t>
      </w:r>
    </w:p>
    <w:p w:rsidR="00E86D23" w:rsidRPr="00A67AB7" w:rsidRDefault="00AF0BF1" w:rsidP="0022588D">
      <w:pPr>
        <w:pStyle w:val="Sangrafrancesa"/>
        <w:spacing w:line="240" w:lineRule="auto"/>
        <w:rPr>
          <w:sz w:val="20"/>
          <w:szCs w:val="20"/>
        </w:rPr>
      </w:pPr>
      <w:r w:rsidRPr="00A67AB7">
        <w:rPr>
          <w:sz w:val="20"/>
          <w:szCs w:val="20"/>
        </w:rPr>
        <w:t>CPEUM: Constitución Política de Jos Estados Unidos Mexicanos.</w:t>
      </w:r>
    </w:p>
    <w:p w:rsidR="00E86D23" w:rsidRPr="00A67AB7" w:rsidRDefault="00AF0BF1" w:rsidP="0022588D">
      <w:pPr>
        <w:pStyle w:val="Sangrafrancesa"/>
        <w:spacing w:line="240" w:lineRule="auto"/>
        <w:rPr>
          <w:sz w:val="20"/>
          <w:szCs w:val="20"/>
        </w:rPr>
      </w:pPr>
      <w:r w:rsidRPr="00A67AB7">
        <w:rPr>
          <w:sz w:val="20"/>
          <w:szCs w:val="20"/>
        </w:rPr>
        <w:t>CPEY: Constitución Política del Estado de Yucatán.</w:t>
      </w:r>
    </w:p>
    <w:p w:rsidR="00E86D23" w:rsidRPr="00A67AB7" w:rsidRDefault="00AF0BF1" w:rsidP="0022588D">
      <w:pPr>
        <w:pStyle w:val="Sangrafrancesa"/>
        <w:spacing w:line="240" w:lineRule="auto"/>
        <w:rPr>
          <w:sz w:val="20"/>
          <w:szCs w:val="20"/>
        </w:rPr>
      </w:pPr>
      <w:r w:rsidRPr="00A67AB7">
        <w:rPr>
          <w:sz w:val="20"/>
          <w:szCs w:val="20"/>
        </w:rPr>
        <w:t>INE: Instituto Nacional Electoral.</w:t>
      </w:r>
    </w:p>
    <w:p w:rsidR="00E86D23" w:rsidRPr="00A67AB7" w:rsidRDefault="00AF0BF1" w:rsidP="0022588D">
      <w:pPr>
        <w:pStyle w:val="Sangrafrancesa"/>
        <w:spacing w:line="240" w:lineRule="auto"/>
        <w:rPr>
          <w:sz w:val="20"/>
          <w:szCs w:val="20"/>
        </w:rPr>
      </w:pPr>
      <w:r w:rsidRPr="00A67AB7">
        <w:rPr>
          <w:sz w:val="20"/>
          <w:szCs w:val="20"/>
        </w:rPr>
        <w:t>INSTITUTO: Instituto Electoral y de Participación Ciudadana de Yucatán.</w:t>
      </w:r>
    </w:p>
    <w:p w:rsidR="00E86D23" w:rsidRPr="00A67AB7" w:rsidRDefault="00AF0BF1" w:rsidP="0022588D">
      <w:pPr>
        <w:pStyle w:val="Sangrafrancesa"/>
        <w:spacing w:line="240" w:lineRule="auto"/>
        <w:rPr>
          <w:sz w:val="20"/>
          <w:szCs w:val="20"/>
        </w:rPr>
      </w:pPr>
      <w:r w:rsidRPr="00A67AB7">
        <w:rPr>
          <w:sz w:val="20"/>
          <w:szCs w:val="20"/>
        </w:rPr>
        <w:t>LGIPE: Ley General de Instituciones y Procedimientos Electorales.</w:t>
      </w:r>
    </w:p>
    <w:p w:rsidR="00E86D23" w:rsidRPr="00A67AB7" w:rsidRDefault="00AF0BF1" w:rsidP="0022588D">
      <w:pPr>
        <w:pStyle w:val="Sangrafrancesa"/>
        <w:spacing w:line="240" w:lineRule="auto"/>
        <w:rPr>
          <w:sz w:val="20"/>
          <w:szCs w:val="20"/>
        </w:rPr>
      </w:pPr>
      <w:r w:rsidRPr="00A67AB7">
        <w:rPr>
          <w:sz w:val="20"/>
          <w:szCs w:val="20"/>
        </w:rPr>
        <w:t>LIPEEY: Ley de Instituciones y Procedimientos Electorales del Estado de Yucatán.</w:t>
      </w:r>
    </w:p>
    <w:p w:rsidR="00E86D23" w:rsidRPr="00A67AB7" w:rsidRDefault="00AF0BF1" w:rsidP="0022588D">
      <w:pPr>
        <w:pStyle w:val="Sangrafrancesa"/>
        <w:spacing w:line="240" w:lineRule="auto"/>
        <w:rPr>
          <w:sz w:val="20"/>
          <w:szCs w:val="20"/>
        </w:rPr>
      </w:pPr>
      <w:r w:rsidRPr="00A67AB7">
        <w:rPr>
          <w:sz w:val="20"/>
          <w:szCs w:val="20"/>
        </w:rPr>
        <w:t>RI: Reglamento Interior del Instituto Electoral y de Participación Ciudadana de Yucatán.</w:t>
      </w:r>
    </w:p>
    <w:p w:rsidR="00E86D23" w:rsidRPr="00A67AB7" w:rsidRDefault="00AF0BF1" w:rsidP="00A67AB7">
      <w:pPr>
        <w:pStyle w:val="Sangrafrancesa"/>
        <w:spacing w:line="360" w:lineRule="auto"/>
        <w:rPr>
          <w:sz w:val="20"/>
          <w:szCs w:val="20"/>
        </w:rPr>
      </w:pPr>
      <w:r w:rsidRPr="00A67AB7">
        <w:rPr>
          <w:sz w:val="20"/>
          <w:szCs w:val="20"/>
        </w:rPr>
        <w:t>RFCCGIEPAC: Reglamento para el Funcionamiento de las Comisiones del Consejo General del Instituto Electoral y de Participación Ciudadana de Yucatán.</w:t>
      </w:r>
    </w:p>
    <w:p w:rsidR="00E86D23" w:rsidRPr="00A67AB7" w:rsidRDefault="00AF0BF1" w:rsidP="0022588D">
      <w:pPr>
        <w:pStyle w:val="Sangrafrancesa"/>
        <w:spacing w:line="240" w:lineRule="auto"/>
        <w:rPr>
          <w:sz w:val="20"/>
          <w:szCs w:val="20"/>
        </w:rPr>
      </w:pPr>
      <w:r w:rsidRPr="00A67AB7">
        <w:rPr>
          <w:sz w:val="20"/>
          <w:szCs w:val="20"/>
        </w:rPr>
        <w:t>LPPEY: Ley de Partido Políticos del Estado de Yucatán.</w:t>
      </w:r>
    </w:p>
    <w:p w:rsidR="00E86D23" w:rsidRPr="00A67AB7" w:rsidRDefault="00AF0BF1">
      <w:pPr>
        <w:pStyle w:val="Sangrafrancesa"/>
        <w:rPr>
          <w:sz w:val="20"/>
          <w:szCs w:val="20"/>
        </w:rPr>
      </w:pPr>
      <w:r w:rsidRPr="00A67AB7">
        <w:rPr>
          <w:sz w:val="20"/>
          <w:szCs w:val="20"/>
        </w:rPr>
        <w:t>LSMIMEEY: Ley del Sistema de Medios de Impugnación en Materia Electoral del Estado de Yucatán.</w:t>
      </w:r>
    </w:p>
    <w:p w:rsidR="00E86D23" w:rsidRDefault="00AF0BF1">
      <w:pPr>
        <w:pStyle w:val="Ttulo2"/>
      </w:pPr>
      <w:bookmarkStart w:id="3" w:name="__RefHeading___Toc139_2441156026"/>
      <w:bookmarkEnd w:id="3"/>
      <w:r>
        <w:t>ANTECEDENTES</w:t>
      </w:r>
    </w:p>
    <w:p w:rsidR="00E86D23" w:rsidRDefault="00AF0BF1" w:rsidP="00FC3F4A">
      <w:pPr>
        <w:spacing w:before="240"/>
      </w:pPr>
      <w:r>
        <w:t>l. El veinte de junio del año dos mil catorce, fue publicado en el Diario Oficial del Gobierno del Estado de Yucatán el Decreto 195/2014 por el que se modifica la Constitución del Estado en Materia Electoral.</w:t>
      </w:r>
    </w:p>
    <w:p w:rsidR="00E86D23" w:rsidRDefault="00AF0BF1" w:rsidP="00FC3F4A">
      <w:pPr>
        <w:spacing w:before="240"/>
      </w:pPr>
      <w:r>
        <w:t>ll. El treinta y uno de mayo del año dos mil diecisiete, fue publicado en el Diario Oficial del Gobierno del Estado de Yucatán el Decreto 490/2017 por el que se modifica la LIPEEY, la LPPEY y la LSMIMEEY.</w:t>
      </w:r>
    </w:p>
    <w:p w:rsidR="00E86D23" w:rsidRDefault="00AF0BF1" w:rsidP="00FC3F4A">
      <w:pPr>
        <w:spacing w:before="240"/>
      </w:pPr>
      <w:r>
        <w:t xml:space="preserve">III. El Consejo General de este Instituto, mediante Acuerdo C.G.-013/2016 de fecha treinta de agosto del año dos mil dieciséis, aprobó el “Reglamento para el </w:t>
      </w:r>
      <w:r>
        <w:lastRenderedPageBreak/>
        <w:t>Funcionamiento de las Comisiones del Consejo General del Instituto Electoral y de Participación Ciudadana de Yucatán”, que fue modificado a través del Acuerdo C.G.-163/2017 de fecha trece de octubre del año dos mil diecisiete.</w:t>
      </w:r>
    </w:p>
    <w:p w:rsidR="00E86D23" w:rsidRDefault="00AF0BF1" w:rsidP="00FC3F4A">
      <w:pPr>
        <w:spacing w:before="240"/>
      </w:pPr>
      <w:r>
        <w:t xml:space="preserve">IV. El diecinueve de marzo de dos mil diecinueve, </w:t>
      </w:r>
      <w:r w:rsidR="00F2664C">
        <w:t xml:space="preserve">mediante el acuerdo C.G.009/2019, </w:t>
      </w:r>
      <w:r>
        <w:t>en sesión extraordinaria del Conejo General, se aprobó la creación de la “Comisión Temporal de Reglamentos del Consejo General del Instituto”.</w:t>
      </w:r>
    </w:p>
    <w:p w:rsidR="00E86D23" w:rsidRDefault="00AF0BF1" w:rsidP="00FC3F4A">
      <w:pPr>
        <w:pStyle w:val="Ttulo2"/>
        <w:spacing w:before="240"/>
      </w:pPr>
      <w:bookmarkStart w:id="4" w:name="__RefHeading___Toc141_2441156026"/>
      <w:bookmarkEnd w:id="4"/>
      <w:r>
        <w:t>CONSIDERANDOS</w:t>
      </w:r>
    </w:p>
    <w:p w:rsidR="00E86D23" w:rsidRDefault="00AF0BF1" w:rsidP="00FC3F4A">
      <w:pPr>
        <w:spacing w:before="240"/>
      </w:pPr>
      <w:r>
        <w:t>1. Que el primer párrafo de la Base V del artículo 41 de la CPEUM señala que la organización de las elecciones es una función estatal que se realiza a través del INE y de los Organismos Públicos Locales, en los términos que establece la citada Constitución.</w:t>
      </w:r>
    </w:p>
    <w:p w:rsidR="00E86D23" w:rsidRDefault="00AF0BF1" w:rsidP="00FC3F4A">
      <w:pPr>
        <w:spacing w:before="240"/>
      </w:pPr>
      <w:r>
        <w:t>Asimismo, en los numerales 3, 10 y 11 del apartado C de la citada base, establece que en las entidades federativas las elecciones locales estarán a cargo de los Organismos Públicos Locales en los términos previstos por la CPEUM y que ejercerán funciones respecto de la preparación de la jornada electoral, todas las no reservadas al Instituto Nacional Electoral, y las que determine la ley.</w:t>
      </w:r>
    </w:p>
    <w:p w:rsidR="00E86D23" w:rsidRDefault="00AF0BF1" w:rsidP="00FC3F4A">
      <w:pPr>
        <w:spacing w:before="240"/>
      </w:pPr>
      <w:r>
        <w:t>2. Que en los numerales 1 y 2 del artículo 98 de la LGIPE se establece que los Organismos Públicos Locales están dotados de personalidad jurídica y patrimonio propios. Gozarán de autonomía en su funcionamiento e independencia en sus decisiones, en los términos previstos en la Constitución, esta Ley, las constituciones y leyes locales. Serán profesionales en su desempeño. Se regirán por los principios de certeza, imparcialidad, independencia, legalidad, máxima publicidad y objetividad.</w:t>
      </w:r>
    </w:p>
    <w:p w:rsidR="00E86D23" w:rsidRDefault="00AF0BF1" w:rsidP="00FC3F4A">
      <w:pPr>
        <w:spacing w:before="240"/>
      </w:pPr>
      <w:r>
        <w:t>En las entidades federativas, los Organismos Públicos Locales son la autoridad en la materia electoral en los términos que establece la CPEUM, la LGIPE y las leyes locales correspondientes.</w:t>
      </w:r>
    </w:p>
    <w:p w:rsidR="00E86D23" w:rsidRDefault="00AF0BF1" w:rsidP="00FC3F4A">
      <w:pPr>
        <w:spacing w:before="240"/>
      </w:pPr>
      <w:r>
        <w:lastRenderedPageBreak/>
        <w:t>3. Que el artículo 4 de la LIPEEY, establece que la aplicación de las normas de dicha Ley corresponde al Instituto, al Tribunal y al Congreso, en sus respectivos ámbitos de competencia;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:rsidR="00E86D23" w:rsidRDefault="00AF0BF1" w:rsidP="00FC3F4A">
      <w:pPr>
        <w:spacing w:before="240"/>
      </w:pPr>
      <w:r>
        <w:t>4. Que el artículo 106 de la LIPEEY señala que son fines del Instituto:</w:t>
      </w:r>
    </w:p>
    <w:p w:rsidR="00E86D23" w:rsidRDefault="00AF0BF1" w:rsidP="00FC3F4A">
      <w:r>
        <w:t>l. Contribuir al desarrollo de la vida democrática;</w:t>
      </w:r>
    </w:p>
    <w:p w:rsidR="00E86D23" w:rsidRDefault="00AF0BF1" w:rsidP="00FC3F4A">
      <w:r>
        <w:t>ll. Promover, fomentar, preservar y fortalecer el régimen de partidos políticos en el Estado;</w:t>
      </w:r>
    </w:p>
    <w:p w:rsidR="00E86D23" w:rsidRDefault="00AF0BF1" w:rsidP="00FC3F4A">
      <w:r>
        <w:t>III. Asegurar a los ciudadanos el goce y ejercicio de sus derechos político-electorales y vigilar el cumplimiento de sus deberes de esta naturaleza;</w:t>
      </w:r>
    </w:p>
    <w:p w:rsidR="00E86D23" w:rsidRDefault="00AF0BF1" w:rsidP="00FC3F4A">
      <w:r>
        <w:t>IV. Coadyuvar con los poderes públicos estatales, para garantizar a los ciudadanos el acceso a los mecanismos de participación directa, en el proceso de toma de decisiones políticas;</w:t>
      </w:r>
    </w:p>
    <w:p w:rsidR="00E86D23" w:rsidRDefault="00AF0BF1" w:rsidP="00FC3F4A">
      <w:r>
        <w:t>V. Fomentar, difundir y fortalecer la cultura cívica y político-electoral, sustentada en el estado de derecho democrático;</w:t>
      </w:r>
    </w:p>
    <w:p w:rsidR="00E86D23" w:rsidRDefault="00AF0BF1" w:rsidP="00FC3F4A">
      <w:r>
        <w:t>VI. Garantizar la celebración periódica y pacífica de elecciones, para renovar a los Poderes Ejecutivo, Legislativo, y a los Ayuntamientos;</w:t>
      </w:r>
    </w:p>
    <w:p w:rsidR="00E86D23" w:rsidRDefault="00AF0BF1" w:rsidP="00FC3F4A">
      <w:r>
        <w:t xml:space="preserve">VII. Velar por el secreto, libertad, universalidad, autenticidad, igualdad y eficacia del sufragio, y </w:t>
      </w:r>
    </w:p>
    <w:p w:rsidR="00E86D23" w:rsidRDefault="00AF0BF1" w:rsidP="00FC3F4A">
      <w:r>
        <w:t>VIII. Promover que los ciudadanos participen en las elecciones y coadyuvar a la difusión de la cultura democrática</w:t>
      </w:r>
    </w:p>
    <w:p w:rsidR="00F2664C" w:rsidRDefault="00AF0BF1" w:rsidP="00FC3F4A">
      <w:pPr>
        <w:spacing w:before="240"/>
      </w:pPr>
      <w:r>
        <w:t xml:space="preserve">5. Que el artículo 109 de la LIPEEY señala el Consejo General y la Junta General Ejecutiva como los órganos centrales del Instituto. </w:t>
      </w:r>
    </w:p>
    <w:p w:rsidR="00F2664C" w:rsidRDefault="00AF0BF1" w:rsidP="00FC3F4A">
      <w:pPr>
        <w:spacing w:before="240"/>
      </w:pPr>
      <w:r>
        <w:t xml:space="preserve">De acuerdo al artículo 110 de dicha Ley, el Consejo General es el órgano superior de dirección, responsable del cumplimiento de las disposiciones constitucionales y reglamentarias en materia electoral y de la observancia de los principios dispuestos en esta Ley, para todas las actividades del Instituto. </w:t>
      </w:r>
    </w:p>
    <w:p w:rsidR="00E86D23" w:rsidRDefault="00AF0BF1" w:rsidP="00FC3F4A">
      <w:pPr>
        <w:spacing w:before="240"/>
      </w:pPr>
      <w:r>
        <w:lastRenderedPageBreak/>
        <w:t>Las fracciones l, ll, VII, XLI, XLVIII,</w:t>
      </w:r>
      <w:r w:rsidR="00F2664C">
        <w:t xml:space="preserve"> </w:t>
      </w:r>
      <w:r>
        <w:t>LVII y LXI del artículo 123 de la LIPEEY señalan las atribuciones y obligaciones que tiene el Consejo General, entre las que están las siguientes:</w:t>
      </w:r>
    </w:p>
    <w:p w:rsidR="00E86D23" w:rsidRDefault="00AF0BF1" w:rsidP="00FC3F4A">
      <w:r>
        <w:t>l. Vigilar el cumplimiento de las disposiciones constitucionales y las demás leyes aplicables;</w:t>
      </w:r>
    </w:p>
    <w:p w:rsidR="00E86D23" w:rsidRDefault="00AF0BF1" w:rsidP="00FC3F4A">
      <w:r>
        <w:t>ll. Aplicar las disposiciones generales, reglas, lineamientos, criterios y formatos que, en ejercicio de las facultades que le confiere la Constitución Federal, las leyes generales de la materia, la Constitución, esta Ley, y las demás que le establezca el Instituto Nacional Electoral;</w:t>
      </w:r>
    </w:p>
    <w:p w:rsidR="00E86D23" w:rsidRDefault="00AF0BF1" w:rsidP="00FC3F4A">
      <w:r>
        <w:t>VII. Dictar los reglamentos, lineamientos y acuerdos necesarios para hacer efectivas sus atribuciones y las disposiciones de esta Ley;</w:t>
      </w:r>
    </w:p>
    <w:p w:rsidR="00C32BD7" w:rsidRDefault="00AF0BF1" w:rsidP="00FC3F4A">
      <w:pPr>
        <w:rPr>
          <w:rFonts w:ascii="ArialMT" w:hAnsi="ArialMT" w:cs="ArialMT"/>
          <w:kern w:val="0"/>
          <w:sz w:val="22"/>
          <w:szCs w:val="22"/>
          <w:lang w:val="es-MX" w:bidi="ar-SA"/>
        </w:rPr>
      </w:pPr>
      <w:r>
        <w:t>XLI. Aprobarlos reglamentos interiores necesarios para el buen funcionamiento del Instituto;</w:t>
      </w:r>
      <w:r w:rsidR="00C32BD7" w:rsidRPr="00C32BD7">
        <w:rPr>
          <w:rFonts w:ascii="ArialMT" w:hAnsi="ArialMT" w:cs="ArialMT"/>
          <w:kern w:val="0"/>
          <w:sz w:val="22"/>
          <w:szCs w:val="22"/>
          <w:lang w:val="es-MX" w:bidi="ar-SA"/>
        </w:rPr>
        <w:t xml:space="preserve"> </w:t>
      </w:r>
    </w:p>
    <w:p w:rsidR="00C32BD7" w:rsidRDefault="00C32BD7" w:rsidP="00FC3F4A">
      <w:pPr>
        <w:rPr>
          <w:lang w:val="es-MX"/>
        </w:rPr>
      </w:pPr>
      <w:r w:rsidRPr="00C32BD7">
        <w:rPr>
          <w:lang w:val="es-MX"/>
        </w:rPr>
        <w:t>XLVIII. Expedir el Reglamento Interior del Instituto, el Estatuto del Personal Administrativo, así</w:t>
      </w:r>
      <w:r>
        <w:rPr>
          <w:lang w:val="es-MX"/>
        </w:rPr>
        <w:t xml:space="preserve"> </w:t>
      </w:r>
      <w:r w:rsidRPr="00C32BD7">
        <w:rPr>
          <w:lang w:val="es-MX"/>
        </w:rPr>
        <w:t>como los reglamentos, necesarios para el buen funcionamiento del Instituto y sus</w:t>
      </w:r>
      <w:r w:rsidR="00FC3F4A">
        <w:rPr>
          <w:lang w:val="es-MX"/>
        </w:rPr>
        <w:t xml:space="preserve"> </w:t>
      </w:r>
      <w:r w:rsidRPr="00C32BD7">
        <w:rPr>
          <w:lang w:val="es-MX"/>
        </w:rPr>
        <w:t>órganos;</w:t>
      </w:r>
      <w:r>
        <w:rPr>
          <w:lang w:val="es-MX"/>
        </w:rPr>
        <w:t xml:space="preserve"> </w:t>
      </w:r>
    </w:p>
    <w:p w:rsidR="00C32BD7" w:rsidRDefault="00C32BD7" w:rsidP="00FC3F4A">
      <w:pPr>
        <w:rPr>
          <w:lang w:val="es-MX"/>
        </w:rPr>
      </w:pPr>
      <w:r w:rsidRPr="00C32BD7">
        <w:rPr>
          <w:lang w:val="es-MX"/>
        </w:rPr>
        <w:t>LVII. Emitir acuerdos y aplicar disposiciones generales, reglas, lineamientos, criterios y</w:t>
      </w:r>
      <w:r w:rsidR="00FC3F4A">
        <w:rPr>
          <w:lang w:val="es-MX"/>
        </w:rPr>
        <w:t xml:space="preserve"> </w:t>
      </w:r>
      <w:r w:rsidRPr="00C32BD7">
        <w:rPr>
          <w:lang w:val="es-MX"/>
        </w:rPr>
        <w:t>formatos para garantizar la paridad de género para el registro de candidaturas a</w:t>
      </w:r>
      <w:r w:rsidR="00FC3F4A">
        <w:rPr>
          <w:lang w:val="es-MX"/>
        </w:rPr>
        <w:t xml:space="preserve"> </w:t>
      </w:r>
      <w:r w:rsidRPr="00C32BD7">
        <w:rPr>
          <w:lang w:val="es-MX"/>
        </w:rPr>
        <w:t>diputados y a regidores de ayuntamientos en sus dimensiones horizontal y vertical, en</w:t>
      </w:r>
      <w:r w:rsidR="00FC3F4A">
        <w:rPr>
          <w:lang w:val="es-MX"/>
        </w:rPr>
        <w:t xml:space="preserve"> </w:t>
      </w:r>
      <w:r w:rsidRPr="00C32BD7">
        <w:rPr>
          <w:lang w:val="es-MX"/>
        </w:rPr>
        <w:t>términos de lo dispuesto por la Constitución Política del Estado de Yucatán, la Ley de</w:t>
      </w:r>
      <w:r w:rsidR="00FC3F4A">
        <w:rPr>
          <w:lang w:val="es-MX"/>
        </w:rPr>
        <w:t xml:space="preserve"> </w:t>
      </w:r>
      <w:r w:rsidRPr="00C32BD7">
        <w:rPr>
          <w:lang w:val="es-MX"/>
        </w:rPr>
        <w:t>Partidos Políticos del Estado de Yucatán y esta ley;</w:t>
      </w:r>
      <w:r>
        <w:rPr>
          <w:lang w:val="es-MX"/>
        </w:rPr>
        <w:t xml:space="preserve"> </w:t>
      </w:r>
    </w:p>
    <w:p w:rsidR="00E86D23" w:rsidRDefault="00C32BD7" w:rsidP="00FC3F4A">
      <w:r w:rsidRPr="00C32BD7">
        <w:rPr>
          <w:lang w:val="es-MX"/>
        </w:rPr>
        <w:t>LXI. Las demás que le confieran la Constitución Política del Estado, esta ley y las demás</w:t>
      </w:r>
      <w:r w:rsidR="00FC3F4A">
        <w:rPr>
          <w:lang w:val="es-MX"/>
        </w:rPr>
        <w:t xml:space="preserve"> </w:t>
      </w:r>
      <w:r w:rsidRPr="00C32BD7">
        <w:rPr>
          <w:lang w:val="es-MX"/>
        </w:rPr>
        <w:t>aplicables</w:t>
      </w:r>
    </w:p>
    <w:p w:rsidR="00E86D23" w:rsidRDefault="00AF0BF1" w:rsidP="00FC3F4A">
      <w:pPr>
        <w:spacing w:before="240"/>
      </w:pPr>
      <w:r>
        <w:t>Lo anterior en concordancia con lo dispuesto en las fracciones I, VIII y XVII del artículo 5 del RI, que señala que para el cumplimiento de sus atribuciones corresponde al Consejo:</w:t>
      </w:r>
    </w:p>
    <w:p w:rsidR="00C32BD7" w:rsidRDefault="00C32BD7" w:rsidP="00FC3F4A">
      <w:r w:rsidRPr="00C32BD7">
        <w:t>I. Aprobar las Políticas y Programas Generales del Instituto;</w:t>
      </w:r>
    </w:p>
    <w:p w:rsidR="00C32BD7" w:rsidRDefault="00C32BD7" w:rsidP="00FC3F4A">
      <w:r w:rsidRPr="00C32BD7">
        <w:t>VIII. Integrar las Comisiones Permanentes, Temporales y Especiales;</w:t>
      </w:r>
    </w:p>
    <w:p w:rsidR="00C32BD7" w:rsidRDefault="00C32BD7" w:rsidP="00FC3F4A">
      <w:r w:rsidRPr="00C32BD7">
        <w:t>XVII. Las demás que le confieran la Ley Electoral y otras disposiciones aplicables.</w:t>
      </w:r>
    </w:p>
    <w:p w:rsidR="00E86D23" w:rsidRDefault="00AF0BF1" w:rsidP="00FC3F4A">
      <w:r>
        <w:lastRenderedPageBreak/>
        <w:t xml:space="preserve">6. Que el artículo 127 de la LIPEEY, señala que, para el estudio, examen, opinión y dictaminación de los asuntos relacionados con las atribuciones del Consejo General del Instituto, se integrarán Comisiones compuestas por 3 consejeros, </w:t>
      </w:r>
      <w:r w:rsidR="00C32BD7">
        <w:t>…</w:t>
      </w:r>
    </w:p>
    <w:p w:rsidR="00E86D23" w:rsidRDefault="00AF0BF1" w:rsidP="00FC3F4A">
      <w:r>
        <w:t>[…]</w:t>
      </w:r>
    </w:p>
    <w:p w:rsidR="00E86D23" w:rsidRDefault="00AF0BF1" w:rsidP="00FC3F4A">
      <w:r>
        <w:t>El Consejo General del Instituto, en el acuerdo de creación o integración de las Comisiones establecerá las modalidades acordes a las necesidades y naturaleza de los asuntos que les encomienden.</w:t>
      </w:r>
    </w:p>
    <w:p w:rsidR="00E86D23" w:rsidRDefault="00AF0BF1" w:rsidP="00FC3F4A">
      <w:r>
        <w:t>7. Que el artículo 128 de la LIPEEY, señala que el Secretario Ejecutivo coadyuvará con todas las Comisiones para el cumplimiento de las tareas que sean encomendadas.</w:t>
      </w:r>
    </w:p>
    <w:p w:rsidR="00E86D23" w:rsidRDefault="00AF0BF1" w:rsidP="00FC3F4A">
      <w:r>
        <w:t>En todos los asuntos, las Comisiones deberán presentar un informe o dictamen, debidamente sustentado y aprobado por sus integrantes.</w:t>
      </w:r>
    </w:p>
    <w:p w:rsidR="00E86D23" w:rsidRDefault="00AF0BF1" w:rsidP="00FC3F4A">
      <w:r>
        <w:t>8. Que el artículo 130 de la LIPEEY, señala que las Comisiones, para el cumplimiento de sus funciones, tendrán el apoyo y colaboración del consejero presidente, del secretario ejecutivo y de la Junta General Ejecutiva, sin detrimento para estos últimos, del cumplimiento de sus obligaciones. A su vez podrán recabar de las oficinas públicas y privadas que funcionan en el Estado, la información que se estime conveniente para el desahogo de sus funciones.</w:t>
      </w:r>
    </w:p>
    <w:p w:rsidR="00E86D23" w:rsidRDefault="00AF0BF1" w:rsidP="00FC3F4A">
      <w:r>
        <w:t>Las Comisiones, por conducto de su Presidente, podrán invitar a sus sesiones a los representantes de los Partidos y Agrupaciones Políticas y a cualquier persona o funcionario, para que exponga un asunto o le proporcione la información que estimen necesaria, conforme al orden del día correspondiente.</w:t>
      </w:r>
    </w:p>
    <w:p w:rsidR="00E86D23" w:rsidRDefault="00AF0BF1" w:rsidP="00FC3F4A">
      <w:pPr>
        <w:spacing w:before="240"/>
      </w:pPr>
      <w:r>
        <w:t>9. Que las fracciones IV, V, VI y XVIII del artículo 7 del RI señala que los consejeros electorales tienen las atribuciones siguientes: solicitar la incorporación de asuntos en el orden del día del Consejo y de las Comisiones, en los términos de la normatividad aplicable; presidir las Comisiones que determine el Consejo; integrar las Comisiones que determine el Consejo y participar con derecho a voz y voto en sus sesiones; y las que les confiera la Ley Electoral, la Ley de Participación Ciudadana y demás normatividad aplicable.</w:t>
      </w:r>
    </w:p>
    <w:p w:rsidR="00E86D23" w:rsidRDefault="00AF0BF1" w:rsidP="00FC3F4A">
      <w:pPr>
        <w:spacing w:before="240"/>
      </w:pPr>
      <w:r>
        <w:lastRenderedPageBreak/>
        <w:t>10. Que el artículo 18 del RI señala que a los titulares de las Direcciones o de las Unidades en su calidad de Secretarios Técnicos de las Comisiones les corresponde:</w:t>
      </w:r>
    </w:p>
    <w:p w:rsidR="00956983" w:rsidRDefault="00956983" w:rsidP="001431B6">
      <w:pPr>
        <w:jc w:val="right"/>
      </w:pPr>
    </w:p>
    <w:p w:rsidR="00E86D23" w:rsidRDefault="00AF0BF1" w:rsidP="00FC3F4A">
      <w:r>
        <w:t>l. Asistir a las reuniones de la Comisión que les compete, con derecho a voz;</w:t>
      </w:r>
    </w:p>
    <w:p w:rsidR="00E86D23" w:rsidRDefault="00AF0BF1" w:rsidP="00FC3F4A">
      <w:r>
        <w:t>ll. Concertar con el Presidente de la Comisión sobre los asuntos de su competencia;</w:t>
      </w:r>
    </w:p>
    <w:p w:rsidR="00E86D23" w:rsidRDefault="00AF0BF1" w:rsidP="00FC3F4A">
      <w:r>
        <w:t>III. Apoyar al Presidente de la Comisión;</w:t>
      </w:r>
    </w:p>
    <w:p w:rsidR="00E86D23" w:rsidRDefault="00AF0BF1" w:rsidP="00FC3F4A">
      <w:r>
        <w:t>IV, Resguardar, organizar, sistematizar y actualizar los archivos de la Comisión conforme a la normatividad de la materia, y</w:t>
      </w:r>
    </w:p>
    <w:p w:rsidR="00E86D23" w:rsidRDefault="00AF0BF1" w:rsidP="00FC3F4A">
      <w:r>
        <w:t>V. Las demás que les confiera la Ley Electoral, el Reglamento de Comisiones y otras disposiciones aplicables.</w:t>
      </w:r>
    </w:p>
    <w:p w:rsidR="00E86D23" w:rsidRDefault="00AF0BF1" w:rsidP="00FC3F4A">
      <w:pPr>
        <w:spacing w:before="240"/>
      </w:pPr>
      <w:r>
        <w:t>11. Que el artículo 4 del RFCCGIEPAC señala que las Comisiones son instancias colegiadas encargadas de estudiar, examinar, opinar, deliberar, proponer y dictaminar en los asuntos relacionados con las atribuciones del Consejo General y las propias.</w:t>
      </w:r>
    </w:p>
    <w:p w:rsidR="00E86D23" w:rsidRDefault="00AF0BF1" w:rsidP="00FC3F4A">
      <w:pPr>
        <w:spacing w:before="240"/>
      </w:pPr>
      <w:r>
        <w:t>12. Que el artículo 5 del RFCCGIEPAC señala que el Consejo General, en el acuerdo de creación o integración de las Comisiones, establecerá las modalidades acordes a las necesidades y naturaleza de los asuntos que les encomienden.</w:t>
      </w:r>
    </w:p>
    <w:p w:rsidR="00E86D23" w:rsidRDefault="00AF0BF1" w:rsidP="00FC3F4A">
      <w:pPr>
        <w:spacing w:before="240"/>
      </w:pPr>
      <w:r>
        <w:t>13. Que el artículo 8 del RFCCGIEPAC señala que el Secretario Ejecutivo coadyuvará con todas las Comisiones para el cumplimiento de las tareas que les sean encomendadas.</w:t>
      </w:r>
    </w:p>
    <w:p w:rsidR="00E86D23" w:rsidRDefault="00AF0BF1" w:rsidP="00FC3F4A">
      <w:pPr>
        <w:spacing w:before="240"/>
      </w:pPr>
      <w:r>
        <w:t>14. Que el artículo 9 del RFCCGIEPAC señala que las Comisiones, para el cumplimiento de sus funciones, tendrán el apoyo y colaboración del Consejero Presidente, del Secretario Ejecutivo y de la Junta General Ejecutiva sin detrimento para estos últimos, el cumplimiento de sus obligaciones. A su vez, podrán recabar de las oficinas públicas y privadas, que funcionan en el Estado, la información que se estime conveniente, para el desahogo de sus funciones.</w:t>
      </w:r>
    </w:p>
    <w:p w:rsidR="00E86D23" w:rsidRDefault="00AF0BF1" w:rsidP="00FC3F4A">
      <w:pPr>
        <w:spacing w:before="240"/>
      </w:pPr>
      <w:r>
        <w:lastRenderedPageBreak/>
        <w:t>15. Que, con el objetivo de auxiliar al Consejo General, se creó una Comisión Temporal de Reglamentos</w:t>
      </w:r>
      <w:r w:rsidR="006B6B5B">
        <w:t>, mediante el acuerdo C.G.</w:t>
      </w:r>
      <w:r w:rsidR="00873F05">
        <w:t>009/2019</w:t>
      </w:r>
      <w:r>
        <w:t xml:space="preserve"> en sesión extraordinaria de diecinueve de marzo de dos mil diecinueve, en los términos siguientes:</w:t>
      </w:r>
    </w:p>
    <w:p w:rsidR="00E86D23" w:rsidRPr="001D210A" w:rsidRDefault="00AF0BF1" w:rsidP="00334D3E">
      <w:pPr>
        <w:spacing w:before="240"/>
        <w:rPr>
          <w:sz w:val="22"/>
          <w:szCs w:val="22"/>
        </w:rPr>
      </w:pPr>
      <w:r w:rsidRPr="001D210A">
        <w:rPr>
          <w:sz w:val="22"/>
          <w:szCs w:val="22"/>
        </w:rPr>
        <w:t>PRIMERO. Se crea la Comisión Temporal de Reglamentos, la cual entre sus funciones tendrá las siguientes:</w:t>
      </w:r>
    </w:p>
    <w:p w:rsidR="00E86D23" w:rsidRPr="001D210A" w:rsidRDefault="00AF0BF1" w:rsidP="00334D3E">
      <w:pPr>
        <w:spacing w:before="240"/>
        <w:ind w:left="567"/>
        <w:rPr>
          <w:sz w:val="22"/>
          <w:szCs w:val="22"/>
        </w:rPr>
      </w:pPr>
      <w:r w:rsidRPr="001D210A">
        <w:rPr>
          <w:sz w:val="22"/>
          <w:szCs w:val="22"/>
        </w:rPr>
        <w:t>a) Elaborar su plan de trabajo y hacerlo del conocimiento del Consejo General.</w:t>
      </w:r>
    </w:p>
    <w:p w:rsidR="00E86D23" w:rsidRPr="001D210A" w:rsidRDefault="00AF0BF1" w:rsidP="00334D3E">
      <w:pPr>
        <w:spacing w:before="240"/>
        <w:ind w:left="567"/>
        <w:rPr>
          <w:sz w:val="22"/>
          <w:szCs w:val="22"/>
        </w:rPr>
      </w:pPr>
      <w:r w:rsidRPr="001D210A">
        <w:rPr>
          <w:sz w:val="22"/>
          <w:szCs w:val="22"/>
        </w:rPr>
        <w:t>b) Integrar, con los funcionarios y empleados del Instituto que determine, los grupos de trabajo necesarios para la elaboración de los anteproyectos de reformas a la normatividad institucional vigente</w:t>
      </w:r>
    </w:p>
    <w:p w:rsidR="00E86D23" w:rsidRPr="001D210A" w:rsidRDefault="00AF0BF1" w:rsidP="00334D3E">
      <w:pPr>
        <w:spacing w:before="240"/>
        <w:ind w:left="567"/>
        <w:rPr>
          <w:sz w:val="22"/>
          <w:szCs w:val="22"/>
        </w:rPr>
      </w:pPr>
      <w:r w:rsidRPr="001D210A">
        <w:rPr>
          <w:sz w:val="22"/>
          <w:szCs w:val="22"/>
        </w:rPr>
        <w:t>c) Presentar al Consejo General para su aprobación los anteproyectos de reformas a la normatividad institucional.</w:t>
      </w:r>
    </w:p>
    <w:p w:rsidR="00E86D23" w:rsidRPr="001D210A" w:rsidRDefault="00AF0BF1" w:rsidP="00334D3E">
      <w:pPr>
        <w:spacing w:before="240"/>
        <w:ind w:left="567"/>
        <w:rPr>
          <w:sz w:val="22"/>
          <w:szCs w:val="22"/>
        </w:rPr>
      </w:pPr>
      <w:r w:rsidRPr="001D210A">
        <w:rPr>
          <w:sz w:val="22"/>
          <w:szCs w:val="22"/>
        </w:rPr>
        <w:t>d) Proponer al Consejo General la expedición de otros instrumentos normativos que se deriven de las leyes en la materia electoral y aquellos que considere necesarios para la persecución adecuada de los fines institucionales, sin detrimento de las facultades de las otras Comisiones del Consejo General.</w:t>
      </w:r>
    </w:p>
    <w:p w:rsidR="00E86D23" w:rsidRPr="001D210A" w:rsidRDefault="00AF0BF1" w:rsidP="00334D3E">
      <w:pPr>
        <w:spacing w:before="240" w:after="240"/>
        <w:rPr>
          <w:sz w:val="22"/>
          <w:szCs w:val="22"/>
        </w:rPr>
      </w:pPr>
      <w:r w:rsidRPr="001D210A">
        <w:rPr>
          <w:sz w:val="22"/>
          <w:szCs w:val="22"/>
        </w:rPr>
        <w:t>SEGUNDO. La Comisión en comento, se integrará de la siguiente manera:</w:t>
      </w:r>
    </w:p>
    <w:p w:rsidR="00E86D23" w:rsidRPr="001D210A" w:rsidRDefault="00AF0BF1" w:rsidP="00334D3E">
      <w:pPr>
        <w:spacing w:before="240" w:after="240"/>
        <w:rPr>
          <w:sz w:val="22"/>
          <w:szCs w:val="22"/>
        </w:rPr>
      </w:pPr>
      <w:r w:rsidRPr="001D210A">
        <w:rPr>
          <w:sz w:val="22"/>
          <w:szCs w:val="22"/>
        </w:rPr>
        <w:t>⁛ Consejero Electoral, Lic. José Antonio Gabriel Martínez Magaña ⁛ Consejero Electoral, Mtro. Antonio Ignacio Matute González ⁛ Consejero Electoral, Lic. Jorge Antonio Vallejo Buenfil.</w:t>
      </w:r>
    </w:p>
    <w:p w:rsidR="00E86D23" w:rsidRPr="001D210A" w:rsidRDefault="00AF0BF1" w:rsidP="00334D3E">
      <w:pPr>
        <w:spacing w:before="240" w:after="240"/>
        <w:rPr>
          <w:sz w:val="22"/>
          <w:szCs w:val="22"/>
        </w:rPr>
      </w:pPr>
      <w:r w:rsidRPr="001D210A">
        <w:rPr>
          <w:sz w:val="22"/>
          <w:szCs w:val="22"/>
        </w:rPr>
        <w:t>Fungiendo como presidente de la referida Comisión temporal, el Consejero Electoral Lic. José Antonio Gabriel Martínez Magaña, y como Secretario Técnico el Titular de la Unidad Técnica de lo Contencioso Electoral de la Secretaría Ejecutiva.</w:t>
      </w:r>
    </w:p>
    <w:p w:rsidR="00E86D23" w:rsidRPr="001D210A" w:rsidRDefault="00AF0BF1" w:rsidP="00334D3E">
      <w:pPr>
        <w:spacing w:before="240" w:after="240"/>
        <w:rPr>
          <w:sz w:val="22"/>
          <w:szCs w:val="22"/>
        </w:rPr>
      </w:pPr>
      <w:r w:rsidRPr="001D210A">
        <w:rPr>
          <w:sz w:val="22"/>
          <w:szCs w:val="22"/>
        </w:rPr>
        <w:t>TERCERO. La Comisión Temporal entrará en funciones a partir de la aprobación del presente Acuerdo y concluirá sus actividades el último día de diciembre de 2019.</w:t>
      </w:r>
    </w:p>
    <w:p w:rsidR="00E86D23" w:rsidRPr="001D210A" w:rsidRDefault="00AF0BF1" w:rsidP="00334D3E">
      <w:pPr>
        <w:spacing w:before="240" w:after="240"/>
        <w:rPr>
          <w:sz w:val="22"/>
          <w:szCs w:val="22"/>
        </w:rPr>
      </w:pPr>
      <w:r w:rsidRPr="001D210A">
        <w:rPr>
          <w:sz w:val="22"/>
          <w:szCs w:val="22"/>
        </w:rPr>
        <w:t>CUARTO. Al concluir sus actividades, la Comisión en comento hará del conocimiento del Consejo General un informe final sobre el desarrollo de sus actividades.</w:t>
      </w:r>
    </w:p>
    <w:p w:rsidR="00E86D23" w:rsidRDefault="00AF0BF1" w:rsidP="00334D3E">
      <w:pPr>
        <w:spacing w:before="240" w:after="240"/>
        <w:ind w:firstLine="284"/>
        <w:contextualSpacing/>
        <w:rPr>
          <w:sz w:val="22"/>
          <w:szCs w:val="22"/>
        </w:rPr>
      </w:pPr>
      <w:r w:rsidRPr="001D210A">
        <w:rPr>
          <w:sz w:val="22"/>
          <w:szCs w:val="22"/>
        </w:rPr>
        <w:lastRenderedPageBreak/>
        <w:t>QUINTO. Para el funcionamiento de la referida Comisión, el Consejo General aplicará el “REGLAMENTO PARA EL FUNCIONAMIENTO DE LAS COMISIONES DEL CONSEJO GENERAL DEL INSTITUTO ELECTORAL Y DE PARTICIPACIÓN CIUDADANA DE YUCATÁN”, mismo que fuera modificado a través del Acuerdo C.G.-163/2017 de fecha trece de octubre del año dos mil diecisiete, de tal manera que se garantice el orden eficaz y fluidez en sus trabajos, contemplando las reglas a las sesiones de las mismas, así como las atribuciones de sus integrantes.</w:t>
      </w:r>
    </w:p>
    <w:p w:rsidR="00685422" w:rsidRPr="001D210A" w:rsidRDefault="00685422" w:rsidP="00334D3E">
      <w:pPr>
        <w:spacing w:before="240" w:after="240"/>
        <w:ind w:firstLine="284"/>
        <w:contextualSpacing/>
        <w:rPr>
          <w:sz w:val="22"/>
          <w:szCs w:val="22"/>
        </w:rPr>
      </w:pPr>
    </w:p>
    <w:p w:rsidR="00E86D23" w:rsidRDefault="00AF0BF1" w:rsidP="00334D3E">
      <w:pPr>
        <w:spacing w:before="240" w:after="240"/>
        <w:ind w:firstLine="284"/>
        <w:contextualSpacing/>
        <w:rPr>
          <w:sz w:val="22"/>
          <w:szCs w:val="22"/>
        </w:rPr>
      </w:pPr>
      <w:r w:rsidRPr="001D210A">
        <w:rPr>
          <w:sz w:val="22"/>
          <w:szCs w:val="22"/>
        </w:rPr>
        <w:t>SEXTO. Cuando así lo considere necesario, el Consejero Presidente de esta Comisión podrá invitar a sus sesiones y reuniones de trabajo a representantes de los partidos políticos con registro ante el Consejo General, así como a los funcionarios y empleados del Instituto a fin de que participen en los trabajos de la Comisión. En ningún caso, los representantes de los partidos políticos y los funcionarios y empleados del Instituto tendrán derecho a voto en las comisiones.</w:t>
      </w:r>
    </w:p>
    <w:p w:rsidR="00685422" w:rsidRPr="00685422" w:rsidRDefault="00685422" w:rsidP="00FC3F4A">
      <w:pPr>
        <w:spacing w:before="240" w:after="240" w:line="276" w:lineRule="auto"/>
        <w:ind w:firstLine="284"/>
        <w:contextualSpacing/>
        <w:rPr>
          <w:sz w:val="16"/>
          <w:szCs w:val="16"/>
        </w:rPr>
      </w:pPr>
    </w:p>
    <w:p w:rsidR="00730C2A" w:rsidRDefault="00730C2A" w:rsidP="00FC3F4A">
      <w:pPr>
        <w:spacing w:before="240" w:after="240"/>
      </w:pPr>
      <w:r>
        <w:t>16. En fecha primero de abril de dos mil diecinueve se aprobó el Plan de Trabajo 2019 de la Comisión Temporal de Reglamentos</w:t>
      </w:r>
      <w:r w:rsidR="008A1C2E">
        <w:t>,</w:t>
      </w:r>
      <w:r>
        <w:t xml:space="preserve"> que estableció como actividades para el período abril-junio del año en curso, la revisión, análisis y propuesta de anteproyectos de reforma al Reglamento Interior, </w:t>
      </w:r>
      <w:r w:rsidR="006C3312" w:rsidRPr="006C3312">
        <w:t>Reglamento para el Funcionamiento de las Comisiones del Consejo General</w:t>
      </w:r>
      <w:r w:rsidR="00685422">
        <w:t xml:space="preserve">, </w:t>
      </w:r>
      <w:r>
        <w:t xml:space="preserve">Reglamento de Transparencia y Acceso a la Información, Reglamento para el Funcionamiento de las Comisiones del Consejo General y Estatuto del Personal de la Rama Administrativa; todos del Instituto Electoral y de Participación Ciudadana de Yucatán. </w:t>
      </w:r>
    </w:p>
    <w:p w:rsidR="00E86D23" w:rsidRDefault="00AF0BF1" w:rsidP="00FC3F4A">
      <w:pPr>
        <w:spacing w:before="240"/>
      </w:pPr>
      <w:r>
        <w:t>1</w:t>
      </w:r>
      <w:r w:rsidR="00730C2A">
        <w:t>7</w:t>
      </w:r>
      <w:r>
        <w:t xml:space="preserve">. </w:t>
      </w:r>
      <w:r w:rsidR="00685422">
        <w:t>E</w:t>
      </w:r>
      <w:r>
        <w:t xml:space="preserve">n el punto </w:t>
      </w:r>
      <w:r w:rsidR="001D210A">
        <w:t>primero</w:t>
      </w:r>
      <w:r>
        <w:t>, inciso b), del acuerdo de creación de la Comisión Temporal de Reglamentos del Consejo General, se acordó integrar con los funcionarios y empleados del Instituto, que determine la comisión, los grupos de trabajo necesarios para la elaboración de los anteproyectos de reformas a la normatividad institucional vigente.</w:t>
      </w:r>
    </w:p>
    <w:p w:rsidR="00C04DE0" w:rsidRDefault="00800948" w:rsidP="00FC3F4A">
      <w:pPr>
        <w:spacing w:before="240"/>
      </w:pPr>
      <w:r>
        <w:t xml:space="preserve">En ese sentido, se propone la creación de cuatro grupos de trabajo, que analizarán la reglamentación señalada </w:t>
      </w:r>
      <w:r w:rsidR="00730C2A">
        <w:t xml:space="preserve">para el trimestre abril-junio </w:t>
      </w:r>
      <w:r>
        <w:t xml:space="preserve">en el Plan de </w:t>
      </w:r>
      <w:r>
        <w:lastRenderedPageBreak/>
        <w:t>Trabajo 2019 de la Comisión</w:t>
      </w:r>
      <w:r w:rsidR="00730C2A">
        <w:t xml:space="preserve"> Temporal de Reglamentos</w:t>
      </w:r>
      <w:r>
        <w:t xml:space="preserve">, </w:t>
      </w:r>
      <w:r w:rsidR="004229F8">
        <w:t xml:space="preserve">con su respectivo líder, </w:t>
      </w:r>
      <w:r>
        <w:t xml:space="preserve">que quedarán </w:t>
      </w:r>
      <w:r w:rsidR="00C04DE0">
        <w:t>integra</w:t>
      </w:r>
      <w:r>
        <w:t xml:space="preserve">dos </w:t>
      </w:r>
      <w:r w:rsidR="00EF4EB0">
        <w:t xml:space="preserve">de la forma </w:t>
      </w:r>
      <w:r w:rsidR="00C04DE0">
        <w:t>siguiente:</w:t>
      </w:r>
    </w:p>
    <w:p w:rsidR="00EF4EB0" w:rsidRPr="00685422" w:rsidRDefault="00EF4EB0" w:rsidP="00FC3F4A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311"/>
        <w:gridCol w:w="4452"/>
      </w:tblGrid>
      <w:tr w:rsidR="00700940" w:rsidRPr="00EF4EB0" w:rsidTr="00457114">
        <w:trPr>
          <w:trHeight w:val="654"/>
        </w:trPr>
        <w:tc>
          <w:tcPr>
            <w:tcW w:w="1129" w:type="dxa"/>
          </w:tcPr>
          <w:p w:rsidR="00700940" w:rsidRPr="00457114" w:rsidRDefault="007009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Grupo</w:t>
            </w:r>
          </w:p>
        </w:tc>
        <w:tc>
          <w:tcPr>
            <w:tcW w:w="3686" w:type="dxa"/>
          </w:tcPr>
          <w:p w:rsidR="00700940" w:rsidRPr="00457114" w:rsidRDefault="007009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Reglamento a analizar</w:t>
            </w:r>
          </w:p>
        </w:tc>
        <w:tc>
          <w:tcPr>
            <w:tcW w:w="5147" w:type="dxa"/>
          </w:tcPr>
          <w:p w:rsidR="00700940" w:rsidRPr="00457114" w:rsidRDefault="00BA78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Líder</w:t>
            </w:r>
            <w:r w:rsidR="00EF4EB0" w:rsidRPr="00457114">
              <w:rPr>
                <w:sz w:val="22"/>
                <w:szCs w:val="22"/>
              </w:rPr>
              <w:t>es</w:t>
            </w:r>
            <w:r w:rsidRPr="00457114">
              <w:rPr>
                <w:sz w:val="22"/>
                <w:szCs w:val="22"/>
              </w:rPr>
              <w:t xml:space="preserve"> e </w:t>
            </w:r>
            <w:r w:rsidR="00EF4EB0" w:rsidRPr="00457114">
              <w:rPr>
                <w:sz w:val="22"/>
                <w:szCs w:val="22"/>
              </w:rPr>
              <w:t>i</w:t>
            </w:r>
            <w:r w:rsidR="00700940" w:rsidRPr="00457114">
              <w:rPr>
                <w:sz w:val="22"/>
                <w:szCs w:val="22"/>
              </w:rPr>
              <w:t>ntegrantes</w:t>
            </w:r>
            <w:r w:rsidRPr="00457114">
              <w:rPr>
                <w:sz w:val="22"/>
                <w:szCs w:val="22"/>
              </w:rPr>
              <w:t xml:space="preserve"> de los equipos</w:t>
            </w:r>
          </w:p>
          <w:p w:rsidR="00EF4EB0" w:rsidRPr="00457114" w:rsidRDefault="00EF4EB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700940" w:rsidRPr="00EF4EB0" w:rsidTr="000E34D7">
        <w:tc>
          <w:tcPr>
            <w:tcW w:w="1129" w:type="dxa"/>
          </w:tcPr>
          <w:p w:rsidR="00700940" w:rsidRPr="00457114" w:rsidRDefault="007009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00940" w:rsidRPr="00EF4EB0" w:rsidRDefault="007009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Reglamento Interior del IEPAC</w:t>
            </w:r>
          </w:p>
        </w:tc>
        <w:tc>
          <w:tcPr>
            <w:tcW w:w="5147" w:type="dxa"/>
          </w:tcPr>
          <w:p w:rsidR="00700940" w:rsidRPr="00EF4EB0" w:rsidRDefault="00BA78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 xml:space="preserve">Líder. Lic. </w:t>
            </w:r>
            <w:r w:rsidR="00700940" w:rsidRPr="00EF4EB0">
              <w:rPr>
                <w:sz w:val="22"/>
                <w:szCs w:val="22"/>
              </w:rPr>
              <w:t xml:space="preserve">Bernardo </w:t>
            </w:r>
            <w:r w:rsidR="00EF4EB0" w:rsidRPr="00EF4EB0">
              <w:rPr>
                <w:sz w:val="22"/>
                <w:szCs w:val="22"/>
              </w:rPr>
              <w:t xml:space="preserve">José </w:t>
            </w:r>
            <w:r w:rsidR="00700940" w:rsidRPr="00EF4EB0">
              <w:rPr>
                <w:sz w:val="22"/>
                <w:szCs w:val="22"/>
              </w:rPr>
              <w:t>Cano González</w:t>
            </w:r>
          </w:p>
          <w:p w:rsidR="00700940" w:rsidRPr="00EF4EB0" w:rsidRDefault="007009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700940" w:rsidRPr="00EF4EB0" w:rsidTr="000E34D7">
        <w:tc>
          <w:tcPr>
            <w:tcW w:w="1129" w:type="dxa"/>
          </w:tcPr>
          <w:p w:rsidR="00700940" w:rsidRPr="00457114" w:rsidRDefault="007009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700940" w:rsidRDefault="007009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Reglamento de Transparencia y Acceso a la Información del IEPAC</w:t>
            </w:r>
          </w:p>
          <w:p w:rsidR="00800948" w:rsidRPr="00EF4EB0" w:rsidRDefault="00800948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47" w:type="dxa"/>
          </w:tcPr>
          <w:p w:rsidR="00700940" w:rsidRPr="00206390" w:rsidRDefault="00BA78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206390">
              <w:rPr>
                <w:sz w:val="22"/>
                <w:szCs w:val="22"/>
              </w:rPr>
              <w:t xml:space="preserve">Líder. Lic. </w:t>
            </w:r>
            <w:r w:rsidR="00700940" w:rsidRPr="00206390">
              <w:rPr>
                <w:sz w:val="22"/>
                <w:szCs w:val="22"/>
              </w:rPr>
              <w:t>Raúl Oswaldo Alemán Canto</w:t>
            </w:r>
          </w:p>
          <w:p w:rsidR="00206390" w:rsidRPr="00206390" w:rsidRDefault="00EF4EB0" w:rsidP="00206390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206390">
              <w:rPr>
                <w:sz w:val="22"/>
                <w:szCs w:val="22"/>
              </w:rPr>
              <w:t xml:space="preserve">Lic. </w:t>
            </w:r>
            <w:r w:rsidR="00700940" w:rsidRPr="00206390">
              <w:rPr>
                <w:sz w:val="22"/>
                <w:szCs w:val="22"/>
              </w:rPr>
              <w:t>Claudia Ivette Herrera Cetina</w:t>
            </w:r>
            <w:r w:rsidR="00206390" w:rsidRPr="00206390">
              <w:rPr>
                <w:sz w:val="22"/>
                <w:szCs w:val="22"/>
              </w:rPr>
              <w:t xml:space="preserve"> </w:t>
            </w:r>
          </w:p>
          <w:p w:rsidR="00700940" w:rsidRPr="00206390" w:rsidRDefault="0020639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206390">
              <w:rPr>
                <w:sz w:val="22"/>
                <w:szCs w:val="22"/>
              </w:rPr>
              <w:t>Lic. David Arturo Soberanis León</w:t>
            </w:r>
          </w:p>
          <w:p w:rsidR="00EF4EB0" w:rsidRPr="00206390" w:rsidRDefault="00EF4EB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700940" w:rsidRPr="00EF4EB0" w:rsidTr="000E34D7">
        <w:tc>
          <w:tcPr>
            <w:tcW w:w="1129" w:type="dxa"/>
          </w:tcPr>
          <w:p w:rsidR="00700940" w:rsidRPr="00457114" w:rsidRDefault="007009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686" w:type="dxa"/>
          </w:tcPr>
          <w:p w:rsidR="00700940" w:rsidRPr="00EF4EB0" w:rsidRDefault="007009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Reglamento de Sesiones de los Consejos</w:t>
            </w:r>
            <w:r w:rsidR="00BA7840" w:rsidRPr="00EF4EB0">
              <w:rPr>
                <w:sz w:val="22"/>
                <w:szCs w:val="22"/>
              </w:rPr>
              <w:t xml:space="preserve"> del IEPAC</w:t>
            </w:r>
          </w:p>
        </w:tc>
        <w:tc>
          <w:tcPr>
            <w:tcW w:w="5147" w:type="dxa"/>
          </w:tcPr>
          <w:p w:rsidR="00700940" w:rsidRPr="00EF4EB0" w:rsidRDefault="00BA78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Líder. Lic. Bernardo José Cano González,</w:t>
            </w:r>
          </w:p>
          <w:p w:rsidR="00BA7840" w:rsidRDefault="00BA78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Lic. Alberto Rivas Mendoza,</w:t>
            </w:r>
          </w:p>
          <w:p w:rsidR="00F5508B" w:rsidRDefault="00F5508B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Lic. Fernando Vera González y </w:t>
            </w:r>
          </w:p>
          <w:p w:rsidR="00F5508B" w:rsidRPr="00EF4EB0" w:rsidRDefault="00F5508B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Juan Carlos Pérez Cervera</w:t>
            </w:r>
          </w:p>
          <w:p w:rsidR="00BA7840" w:rsidRPr="00EF4EB0" w:rsidRDefault="00BA78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700940" w:rsidRPr="00EF4EB0" w:rsidTr="000E34D7">
        <w:tc>
          <w:tcPr>
            <w:tcW w:w="1129" w:type="dxa"/>
          </w:tcPr>
          <w:p w:rsidR="00700940" w:rsidRPr="00457114" w:rsidRDefault="00BA78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700940" w:rsidRPr="00EF4EB0" w:rsidRDefault="00BA78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Estatuto del Personal de la Rama Administrativa del IEPAC</w:t>
            </w:r>
          </w:p>
        </w:tc>
        <w:tc>
          <w:tcPr>
            <w:tcW w:w="5147" w:type="dxa"/>
          </w:tcPr>
          <w:p w:rsidR="00700940" w:rsidRPr="00EF4EB0" w:rsidRDefault="00BA78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Líder. Lic. Carlos Alberto Dzib Pech</w:t>
            </w:r>
          </w:p>
          <w:p w:rsidR="00AA091D" w:rsidRDefault="00BA7840" w:rsidP="00AA091D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Psic. Mayra Belem Koh Rejón</w:t>
            </w:r>
            <w:r w:rsidR="00AA091D" w:rsidRPr="00AA091D">
              <w:rPr>
                <w:sz w:val="22"/>
                <w:szCs w:val="22"/>
              </w:rPr>
              <w:t xml:space="preserve"> </w:t>
            </w:r>
          </w:p>
          <w:p w:rsidR="00AA091D" w:rsidRPr="00AA091D" w:rsidRDefault="00AA091D" w:rsidP="00AA091D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AA091D">
              <w:rPr>
                <w:sz w:val="22"/>
                <w:szCs w:val="22"/>
              </w:rPr>
              <w:t>Lic. Miriam Aracely Alcocer Pacheco</w:t>
            </w:r>
          </w:p>
          <w:p w:rsidR="00BA7840" w:rsidRPr="00EF4EB0" w:rsidRDefault="00BA7840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D3EE5" w:rsidRPr="00CD3EE5" w:rsidRDefault="00CB7A8D" w:rsidP="00FC3F4A">
      <w:pPr>
        <w:spacing w:before="240"/>
      </w:pPr>
      <w:r>
        <w:t>18</w:t>
      </w:r>
      <w:r w:rsidR="00EF4EB0">
        <w:t xml:space="preserve">. </w:t>
      </w:r>
      <w:r w:rsidR="00685422">
        <w:t>Así también, e</w:t>
      </w:r>
      <w:r w:rsidR="00CD3EE5">
        <w:t xml:space="preserve">n el </w:t>
      </w:r>
      <w:r w:rsidR="00CD3EE5" w:rsidRPr="00CD3EE5">
        <w:t xml:space="preserve">inciso </w:t>
      </w:r>
      <w:r w:rsidR="00CD3EE5">
        <w:t>a</w:t>
      </w:r>
      <w:r w:rsidR="00CD3EE5" w:rsidRPr="00CD3EE5">
        <w:t xml:space="preserve">), del acuerdo de creación de la Comisión Temporal de Reglamentos del Consejo General, se acordó </w:t>
      </w:r>
      <w:r w:rsidR="00CD3EE5">
        <w:t xml:space="preserve">como una de las facultades de la Comisión Temporal de Reglamentos </w:t>
      </w:r>
      <w:r w:rsidR="008A1C2E">
        <w:t xml:space="preserve">la de </w:t>
      </w:r>
      <w:r w:rsidR="00CD3EE5">
        <w:t>presentar al Consejo General propuestas de adecuación a la normativa institucional y en el inciso d)</w:t>
      </w:r>
      <w:r w:rsidR="00685422">
        <w:t>, del acuerdo,</w:t>
      </w:r>
      <w:r w:rsidR="00CD3EE5">
        <w:t xml:space="preserve"> proponer otros instrumentos normativos que se deriven de las leyes en materia electoral y aquellos que considere necesarios para la persecución adecuada de los fines del instituto</w:t>
      </w:r>
      <w:r w:rsidR="00CD3EE5" w:rsidRPr="00CD3EE5">
        <w:t>.</w:t>
      </w:r>
    </w:p>
    <w:p w:rsidR="00E86D23" w:rsidRDefault="00CB7A8D" w:rsidP="00FC3F4A">
      <w:pPr>
        <w:spacing w:before="240"/>
      </w:pPr>
      <w:r>
        <w:t>19</w:t>
      </w:r>
      <w:r w:rsidR="00CD3EE5">
        <w:t xml:space="preserve">. </w:t>
      </w:r>
      <w:r w:rsidR="00EF4EB0">
        <w:t xml:space="preserve">En el </w:t>
      </w:r>
      <w:r w:rsidR="00CD3EE5">
        <w:t>con</w:t>
      </w:r>
      <w:r w:rsidR="00EF4EB0">
        <w:t xml:space="preserve">texto, existe la necesidad de </w:t>
      </w:r>
      <w:r w:rsidR="00CD3EE5">
        <w:t xml:space="preserve">contar con </w:t>
      </w:r>
      <w:r w:rsidR="00EF4EB0">
        <w:t xml:space="preserve">criterios para la redacción y estilo de </w:t>
      </w:r>
      <w:r w:rsidR="007869CA">
        <w:t xml:space="preserve">las publicaciones y </w:t>
      </w:r>
      <w:r w:rsidR="0077660D">
        <w:t xml:space="preserve">de </w:t>
      </w:r>
      <w:r w:rsidR="00EF4EB0">
        <w:t xml:space="preserve">los anteproyectos </w:t>
      </w:r>
      <w:r w:rsidR="00CD3EE5">
        <w:t xml:space="preserve">o propuestas </w:t>
      </w:r>
      <w:r w:rsidR="00EF4EB0">
        <w:t>a presentar por parte de los grupos de trabajo</w:t>
      </w:r>
      <w:r w:rsidR="00730C2A">
        <w:t>,</w:t>
      </w:r>
      <w:r w:rsidR="00EF4EB0">
        <w:t xml:space="preserve"> a efecto de generar uniformidad en </w:t>
      </w:r>
      <w:r w:rsidR="00CD3EE5">
        <w:t>las mismas</w:t>
      </w:r>
      <w:r w:rsidR="000E34D7">
        <w:t>,</w:t>
      </w:r>
      <w:r w:rsidR="00EF4EB0">
        <w:t xml:space="preserve"> por lo que se propone para dicho fin</w:t>
      </w:r>
      <w:r w:rsidR="000E34D7">
        <w:t>,</w:t>
      </w:r>
      <w:r w:rsidR="00EF4EB0">
        <w:t xml:space="preserve"> </w:t>
      </w:r>
      <w:r w:rsidR="00CD3EE5">
        <w:t>la aprobación d</w:t>
      </w:r>
      <w:r w:rsidR="00EF4EB0">
        <w:t xml:space="preserve">el documento </w:t>
      </w:r>
      <w:r w:rsidR="00751036">
        <w:t xml:space="preserve">denominado </w:t>
      </w:r>
      <w:r w:rsidR="00AF0BF1">
        <w:t>“</w:t>
      </w:r>
      <w:bookmarkStart w:id="5" w:name="_Hlk6321525"/>
      <w:r w:rsidR="00401A78">
        <w:t xml:space="preserve">Guía para la </w:t>
      </w:r>
      <w:r w:rsidR="00857C7F">
        <w:t>E</w:t>
      </w:r>
      <w:r w:rsidR="00401A78">
        <w:t>laboración de Anteproyectos de Reformas o Adiciones a los Documentos Normativos del Instituto Electoral y de Participación Ciudadana de Yucatán</w:t>
      </w:r>
      <w:bookmarkEnd w:id="5"/>
      <w:r w:rsidR="00401A78">
        <w:t>”</w:t>
      </w:r>
      <w:r w:rsidR="00956983">
        <w:t>, emitido por esta comisión, y</w:t>
      </w:r>
      <w:r w:rsidR="00751036">
        <w:t xml:space="preserve"> que </w:t>
      </w:r>
      <w:r w:rsidR="00A53DBF">
        <w:t xml:space="preserve">tiene por objeto </w:t>
      </w:r>
      <w:r w:rsidR="00751036">
        <w:t xml:space="preserve">homogeneizar </w:t>
      </w:r>
      <w:r w:rsidR="00142A38">
        <w:t>los</w:t>
      </w:r>
      <w:r w:rsidR="00EF4EB0">
        <w:t xml:space="preserve"> anteproyectos y </w:t>
      </w:r>
      <w:r w:rsidR="00CD3EE5">
        <w:t xml:space="preserve">propuestas </w:t>
      </w:r>
      <w:r w:rsidR="00EF4EB0">
        <w:t>normativ</w:t>
      </w:r>
      <w:r w:rsidR="00CD3EE5">
        <w:t>a</w:t>
      </w:r>
      <w:r w:rsidR="00EF4EB0">
        <w:t xml:space="preserve">s, </w:t>
      </w:r>
      <w:r w:rsidR="00A16309">
        <w:t>mediante el establecimiento de formalidades</w:t>
      </w:r>
      <w:r w:rsidR="00A57505">
        <w:t xml:space="preserve"> de estilo, </w:t>
      </w:r>
      <w:r w:rsidR="00A57505">
        <w:lastRenderedPageBreak/>
        <w:t>reglas de redacción y ortográficas</w:t>
      </w:r>
      <w:r w:rsidR="00A0710B">
        <w:t xml:space="preserve">, así como </w:t>
      </w:r>
      <w:r w:rsidR="000F43B6">
        <w:t xml:space="preserve">lenguaje no discriminatorio y </w:t>
      </w:r>
      <w:r w:rsidR="00A0710B">
        <w:t>de género</w:t>
      </w:r>
      <w:r w:rsidR="00AF0BF1">
        <w:t>.</w:t>
      </w:r>
      <w:r w:rsidR="00A0710B">
        <w:t xml:space="preserve"> </w:t>
      </w:r>
    </w:p>
    <w:p w:rsidR="00E86D23" w:rsidRDefault="00CD3EE5" w:rsidP="00FC3F4A">
      <w:pPr>
        <w:spacing w:before="240"/>
      </w:pPr>
      <w:r>
        <w:t>2</w:t>
      </w:r>
      <w:r w:rsidR="006A2489">
        <w:t>0</w:t>
      </w:r>
      <w:r w:rsidR="00AF0BF1">
        <w:t xml:space="preserve">. En ese sentido, la Comisión Temporal de Reglamentos del Consejo General del Instituto Electoral y de Participación Ciudadana de Yucatán, estima que los </w:t>
      </w:r>
      <w:r w:rsidR="00685422">
        <w:t>c</w:t>
      </w:r>
      <w:r w:rsidR="00EF4EB0">
        <w:t xml:space="preserve">riterios </w:t>
      </w:r>
      <w:r w:rsidR="00AF0BF1">
        <w:t xml:space="preserve">que se proponen, </w:t>
      </w:r>
      <w:r w:rsidR="002C74CB">
        <w:t xml:space="preserve">son </w:t>
      </w:r>
      <w:r w:rsidR="00AF0BF1">
        <w:t xml:space="preserve">indispensables </w:t>
      </w:r>
      <w:r w:rsidR="00685422">
        <w:t xml:space="preserve">para homogeneizar criterios en el Instituto </w:t>
      </w:r>
      <w:r w:rsidR="00AF0BF1">
        <w:t xml:space="preserve">y una referencia mínima para que los grupos de trabajo </w:t>
      </w:r>
      <w:r w:rsidR="002C74CB">
        <w:t xml:space="preserve">cuenten con herramientas </w:t>
      </w:r>
      <w:r w:rsidR="00AF0BF1">
        <w:t xml:space="preserve">que le permitan desarrollar las funciones, </w:t>
      </w:r>
      <w:r w:rsidR="00685422" w:rsidRPr="00685422">
        <w:t>para el cumplimiento del objeto de la Comisión</w:t>
      </w:r>
      <w:r w:rsidR="00685422">
        <w:t>,</w:t>
      </w:r>
      <w:r w:rsidR="00685422" w:rsidRPr="00685422">
        <w:t xml:space="preserve"> </w:t>
      </w:r>
      <w:r w:rsidR="00AF0BF1">
        <w:t>que fueron establecidas mediante el acuerdo C.G.-009/201</w:t>
      </w:r>
      <w:r w:rsidR="000E34D7">
        <w:t>9</w:t>
      </w:r>
      <w:r w:rsidR="00AF0BF1">
        <w:t xml:space="preserve"> del Consejo General de este Instituto</w:t>
      </w:r>
      <w:r w:rsidR="00685422">
        <w:t xml:space="preserve"> y el Plan de Trabajo correspondiente</w:t>
      </w:r>
      <w:r w:rsidR="00AF0BF1">
        <w:t>.</w:t>
      </w:r>
    </w:p>
    <w:p w:rsidR="00401A78" w:rsidRDefault="00401A78" w:rsidP="00FC3F4A">
      <w:pPr>
        <w:spacing w:before="240"/>
      </w:pPr>
      <w:r>
        <w:t>21. En ese sentido,</w:t>
      </w:r>
      <w:r w:rsidR="00AA091D">
        <w:t xml:space="preserve"> </w:t>
      </w:r>
      <w:r>
        <w:t>es necesario</w:t>
      </w:r>
      <w:r w:rsidR="00AA091D">
        <w:t xml:space="preserve"> también</w:t>
      </w:r>
      <w:r>
        <w:t xml:space="preserve"> contar con una </w:t>
      </w:r>
      <w:r w:rsidR="00857C7F">
        <w:t>m</w:t>
      </w:r>
      <w:r>
        <w:t xml:space="preserve">etodología que permita que los grupos de trabajo al realizar el análisis de la normatividad que le corresponda, lo realice </w:t>
      </w:r>
      <w:r w:rsidR="00857C7F">
        <w:t xml:space="preserve">de forma </w:t>
      </w:r>
      <w:r>
        <w:t>comparativ</w:t>
      </w:r>
      <w:r w:rsidR="00857C7F">
        <w:t xml:space="preserve">a, </w:t>
      </w:r>
      <w:r w:rsidR="00181C20">
        <w:t xml:space="preserve">el </w:t>
      </w:r>
      <w:r w:rsidR="00857C7F">
        <w:t xml:space="preserve">instrumento </w:t>
      </w:r>
      <w:r w:rsidR="00206390">
        <w:t xml:space="preserve">que </w:t>
      </w:r>
      <w:r w:rsidR="00181C20">
        <w:t xml:space="preserve">se propone </w:t>
      </w:r>
      <w:r w:rsidR="00AA091D">
        <w:t xml:space="preserve">contiene </w:t>
      </w:r>
      <w:r w:rsidR="00857C7F">
        <w:t xml:space="preserve">una sección en el que se </w:t>
      </w:r>
      <w:r w:rsidR="00AA091D">
        <w:t xml:space="preserve">incluyan </w:t>
      </w:r>
      <w:r w:rsidR="00857C7F">
        <w:t>los artículos de la norma vigente, otro en el que se incluya la normativa a comparar</w:t>
      </w:r>
      <w:r w:rsidR="00181C20">
        <w:t xml:space="preserve">, misma </w:t>
      </w:r>
      <w:r w:rsidR="00857C7F">
        <w:t xml:space="preserve">que puede ser de otro OPLE </w:t>
      </w:r>
      <w:r w:rsidR="00181C20">
        <w:t xml:space="preserve">u otra </w:t>
      </w:r>
      <w:r w:rsidR="00857C7F">
        <w:t>instancia</w:t>
      </w:r>
      <w:r w:rsidR="00181C20">
        <w:t xml:space="preserve">, que deberá contener </w:t>
      </w:r>
      <w:r w:rsidR="00857C7F">
        <w:t xml:space="preserve">un link en donde se ubica la norma completa tomada para comparación, un apartado más donde conste la propuesta de reforma </w:t>
      </w:r>
      <w:r w:rsidR="00AA091D">
        <w:t xml:space="preserve">que se realice </w:t>
      </w:r>
      <w:r w:rsidR="00857C7F">
        <w:t>y un último recuadro para comentarios</w:t>
      </w:r>
      <w:r w:rsidR="00181C20">
        <w:t>,</w:t>
      </w:r>
      <w:r w:rsidR="00857C7F">
        <w:t xml:space="preserve"> en el que se especifique el motivo por el que se sugiere</w:t>
      </w:r>
      <w:r w:rsidR="00AA091D">
        <w:t xml:space="preserve"> la reforma</w:t>
      </w:r>
      <w:r w:rsidR="00857C7F">
        <w:t>.</w:t>
      </w:r>
    </w:p>
    <w:p w:rsidR="00E86D23" w:rsidRDefault="00956983" w:rsidP="001431B6">
      <w:pPr>
        <w:spacing w:before="240" w:after="240"/>
      </w:pPr>
      <w:r>
        <w:t>2</w:t>
      </w:r>
      <w:r w:rsidR="00206390">
        <w:t>2</w:t>
      </w:r>
      <w:r>
        <w:t xml:space="preserve">. </w:t>
      </w:r>
      <w:r w:rsidR="00AF0BF1">
        <w:t xml:space="preserve">Por lo </w:t>
      </w:r>
      <w:r w:rsidR="006A2489">
        <w:t>anteriormente señalado</w:t>
      </w:r>
      <w:r w:rsidR="00831280">
        <w:t xml:space="preserve"> </w:t>
      </w:r>
      <w:r w:rsidR="00AF0BF1">
        <w:t xml:space="preserve">se </w:t>
      </w:r>
      <w:r w:rsidR="00D32C2B">
        <w:t xml:space="preserve">propone </w:t>
      </w:r>
      <w:r w:rsidR="00AF0BF1">
        <w:t xml:space="preserve">aprobar </w:t>
      </w:r>
      <w:r w:rsidR="00857C7F">
        <w:t xml:space="preserve">el presente acuerdo con </w:t>
      </w:r>
      <w:r w:rsidR="000E34D7">
        <w:t xml:space="preserve">la </w:t>
      </w:r>
      <w:r w:rsidR="00AA091D">
        <w:t>conformación</w:t>
      </w:r>
      <w:r w:rsidR="000E34D7">
        <w:t xml:space="preserve"> </w:t>
      </w:r>
      <w:r w:rsidR="00AA091D">
        <w:t xml:space="preserve">y la normativa a analizar de </w:t>
      </w:r>
      <w:r w:rsidR="000E34D7">
        <w:t>los grupos de trabajo</w:t>
      </w:r>
      <w:r w:rsidR="00AF0BF1">
        <w:t xml:space="preserve">, </w:t>
      </w:r>
      <w:r w:rsidR="00401A78">
        <w:t xml:space="preserve">la </w:t>
      </w:r>
      <w:r w:rsidR="00401A78" w:rsidRPr="00206390">
        <w:t xml:space="preserve">“Guía para la </w:t>
      </w:r>
      <w:r w:rsidR="00857C7F" w:rsidRPr="00206390">
        <w:t>E</w:t>
      </w:r>
      <w:r w:rsidR="00401A78" w:rsidRPr="00206390">
        <w:t xml:space="preserve">laboración de Anteproyectos de Reformas o Adiciones a los Documentos Normativos del Instituto Electoral y de Participación Ciudadana de Yucatán” </w:t>
      </w:r>
      <w:r w:rsidR="00857C7F" w:rsidRPr="00206390">
        <w:t>y el instrumento que contiene el cuadro con los elementos metodológicos propuestos,</w:t>
      </w:r>
      <w:r w:rsidR="00857C7F">
        <w:t xml:space="preserve"> </w:t>
      </w:r>
      <w:r w:rsidR="00334D3E">
        <w:t>que</w:t>
      </w:r>
      <w:r w:rsidR="00D32C2B">
        <w:t xml:space="preserve"> </w:t>
      </w:r>
      <w:r w:rsidR="00401A78">
        <w:t xml:space="preserve">se </w:t>
      </w:r>
      <w:r w:rsidR="00D32C2B">
        <w:t>deberán observar en la elaboración de los documentos que se les encargue</w:t>
      </w:r>
      <w:r w:rsidR="00857C7F">
        <w:t xml:space="preserve"> a los grupos de trabajo</w:t>
      </w:r>
      <w:r w:rsidR="00D32C2B">
        <w:t>,</w:t>
      </w:r>
      <w:r w:rsidR="00AF0BF1">
        <w:t xml:space="preserve"> por lo que esta Comisión Temporal de Reglamentos y Normatividad Electoral emite el siguiente:</w:t>
      </w:r>
    </w:p>
    <w:p w:rsidR="00E86D23" w:rsidRDefault="00AF0BF1" w:rsidP="00FC3F4A">
      <w:pPr>
        <w:pStyle w:val="Ttulo2"/>
        <w:spacing w:before="240"/>
      </w:pPr>
      <w:bookmarkStart w:id="6" w:name="__RefHeading___Toc143_2441156026"/>
      <w:bookmarkEnd w:id="6"/>
      <w:r>
        <w:t>ACUERDO</w:t>
      </w:r>
    </w:p>
    <w:p w:rsidR="000E34D7" w:rsidRDefault="00AF0BF1" w:rsidP="00FC3F4A">
      <w:pPr>
        <w:spacing w:after="240"/>
      </w:pPr>
      <w:r w:rsidRPr="007E58FC">
        <w:rPr>
          <w:b/>
        </w:rPr>
        <w:lastRenderedPageBreak/>
        <w:t>PRIMERO</w:t>
      </w:r>
      <w:r>
        <w:t xml:space="preserve">. Se aprueba </w:t>
      </w:r>
      <w:r w:rsidR="00D32C2B">
        <w:t xml:space="preserve">la integración de </w:t>
      </w:r>
      <w:r w:rsidR="00560016">
        <w:t xml:space="preserve">los </w:t>
      </w:r>
      <w:r w:rsidR="000E34D7">
        <w:t xml:space="preserve">Grupos de Trabajo </w:t>
      </w:r>
      <w:r>
        <w:t>de la Comisión Temporal de Reglamentos</w:t>
      </w:r>
      <w:r w:rsidR="00D32C2B">
        <w:t xml:space="preserve"> y</w:t>
      </w:r>
      <w:r>
        <w:t xml:space="preserve"> </w:t>
      </w:r>
      <w:r w:rsidR="00800948">
        <w:t xml:space="preserve">la normatividad </w:t>
      </w:r>
      <w:r w:rsidR="00685422">
        <w:t xml:space="preserve">que deberán </w:t>
      </w:r>
      <w:r w:rsidR="00D32C2B">
        <w:t xml:space="preserve">revisar y </w:t>
      </w:r>
      <w:r w:rsidR="00800948">
        <w:t>analizar</w:t>
      </w:r>
      <w:r w:rsidR="00857C7F">
        <w:t>,</w:t>
      </w:r>
      <w:r w:rsidR="00800948">
        <w:t xml:space="preserve"> </w:t>
      </w:r>
      <w:r w:rsidR="00D32C2B">
        <w:t>para elaborar las propuestas de reforma correspondiente, quedando de la siguiente manera</w:t>
      </w:r>
      <w:r w:rsidR="000E34D7"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311"/>
        <w:gridCol w:w="4452"/>
      </w:tblGrid>
      <w:tr w:rsidR="000E34D7" w:rsidRPr="00EF4EB0" w:rsidTr="00800948">
        <w:tc>
          <w:tcPr>
            <w:tcW w:w="1075" w:type="dxa"/>
          </w:tcPr>
          <w:p w:rsidR="000E34D7" w:rsidRPr="00457114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Grupo</w:t>
            </w:r>
          </w:p>
        </w:tc>
        <w:tc>
          <w:tcPr>
            <w:tcW w:w="3311" w:type="dxa"/>
          </w:tcPr>
          <w:p w:rsidR="000E34D7" w:rsidRPr="00457114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Reglamento a analizar</w:t>
            </w:r>
          </w:p>
        </w:tc>
        <w:tc>
          <w:tcPr>
            <w:tcW w:w="4452" w:type="dxa"/>
          </w:tcPr>
          <w:p w:rsidR="000E34D7" w:rsidRPr="00457114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Líderes e integrantes de los equipos</w:t>
            </w:r>
          </w:p>
          <w:p w:rsidR="000E34D7" w:rsidRPr="00457114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0E34D7" w:rsidRPr="00EF4EB0" w:rsidTr="00800948">
        <w:tc>
          <w:tcPr>
            <w:tcW w:w="1075" w:type="dxa"/>
          </w:tcPr>
          <w:p w:rsidR="000E34D7" w:rsidRPr="00457114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1</w:t>
            </w:r>
          </w:p>
        </w:tc>
        <w:tc>
          <w:tcPr>
            <w:tcW w:w="3311" w:type="dxa"/>
          </w:tcPr>
          <w:p w:rsidR="000E34D7" w:rsidRPr="00EF4EB0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Reglamento Interior del IEPAC</w:t>
            </w:r>
          </w:p>
        </w:tc>
        <w:tc>
          <w:tcPr>
            <w:tcW w:w="4452" w:type="dxa"/>
          </w:tcPr>
          <w:p w:rsidR="000E34D7" w:rsidRPr="00EF4EB0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Líder. Lic. Bernardo José Cano González</w:t>
            </w:r>
          </w:p>
          <w:p w:rsidR="000E34D7" w:rsidRPr="00EF4EB0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0E34D7" w:rsidRPr="00EF4EB0" w:rsidTr="00800948">
        <w:tc>
          <w:tcPr>
            <w:tcW w:w="1075" w:type="dxa"/>
          </w:tcPr>
          <w:p w:rsidR="000E34D7" w:rsidRPr="00457114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2</w:t>
            </w:r>
          </w:p>
        </w:tc>
        <w:tc>
          <w:tcPr>
            <w:tcW w:w="3311" w:type="dxa"/>
          </w:tcPr>
          <w:p w:rsidR="000E34D7" w:rsidRPr="00EF4EB0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Reglamento de Transparencia y Acceso a la Información del IEPAC</w:t>
            </w:r>
          </w:p>
        </w:tc>
        <w:tc>
          <w:tcPr>
            <w:tcW w:w="4452" w:type="dxa"/>
          </w:tcPr>
          <w:p w:rsidR="000E34D7" w:rsidRPr="00EF4EB0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Líder. Lic. Raúl Oswaldo Alemán Canto</w:t>
            </w:r>
          </w:p>
          <w:p w:rsidR="000E34D7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Lic. </w:t>
            </w:r>
            <w:r w:rsidRPr="00EF4EB0">
              <w:rPr>
                <w:sz w:val="22"/>
                <w:szCs w:val="22"/>
              </w:rPr>
              <w:t>Claudia Ivette Herrera Cetina</w:t>
            </w:r>
          </w:p>
          <w:p w:rsidR="00BF431B" w:rsidRDefault="00BF431B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206390">
              <w:rPr>
                <w:sz w:val="22"/>
                <w:szCs w:val="22"/>
              </w:rPr>
              <w:t>Lic. David Arturo Soberanis León</w:t>
            </w:r>
          </w:p>
          <w:p w:rsidR="00BF431B" w:rsidRDefault="00BF431B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0E34D7" w:rsidRPr="00EF4EB0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0E34D7" w:rsidRPr="00EF4EB0" w:rsidTr="00800948">
        <w:tc>
          <w:tcPr>
            <w:tcW w:w="1075" w:type="dxa"/>
          </w:tcPr>
          <w:p w:rsidR="000E34D7" w:rsidRPr="00457114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311" w:type="dxa"/>
          </w:tcPr>
          <w:p w:rsidR="000E34D7" w:rsidRPr="00EF4EB0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Reglamento de Sesiones de los Consejos del IEPAC</w:t>
            </w:r>
          </w:p>
        </w:tc>
        <w:tc>
          <w:tcPr>
            <w:tcW w:w="4452" w:type="dxa"/>
          </w:tcPr>
          <w:p w:rsidR="000E34D7" w:rsidRPr="00EF4EB0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Líder. Lic. Bernardo José Cano González</w:t>
            </w:r>
          </w:p>
          <w:p w:rsidR="00B8358E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Lic. Alberto Rivas Mendoza</w:t>
            </w:r>
            <w:r w:rsidR="00B8358E" w:rsidRPr="00B8358E">
              <w:rPr>
                <w:sz w:val="22"/>
                <w:szCs w:val="22"/>
              </w:rPr>
              <w:t xml:space="preserve"> </w:t>
            </w:r>
          </w:p>
          <w:p w:rsidR="00B8358E" w:rsidRPr="00B8358E" w:rsidRDefault="00B8358E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B8358E">
              <w:rPr>
                <w:sz w:val="22"/>
                <w:szCs w:val="22"/>
              </w:rPr>
              <w:t xml:space="preserve">Lic. Fernando Vera González y </w:t>
            </w:r>
          </w:p>
          <w:p w:rsidR="000E34D7" w:rsidRPr="00EF4EB0" w:rsidRDefault="00B8358E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B8358E">
              <w:rPr>
                <w:sz w:val="22"/>
                <w:szCs w:val="22"/>
              </w:rPr>
              <w:t>C. Juan Carlos Pérez Cervera</w:t>
            </w:r>
          </w:p>
          <w:p w:rsidR="000E34D7" w:rsidRPr="00EF4EB0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0E34D7" w:rsidRPr="00EF4EB0" w:rsidTr="00800948">
        <w:tc>
          <w:tcPr>
            <w:tcW w:w="1075" w:type="dxa"/>
          </w:tcPr>
          <w:p w:rsidR="000E34D7" w:rsidRPr="00457114" w:rsidRDefault="000E34D7" w:rsidP="00FC3F4A">
            <w:pPr>
              <w:spacing w:after="240" w:line="276" w:lineRule="auto"/>
              <w:ind w:firstLine="0"/>
              <w:rPr>
                <w:sz w:val="22"/>
                <w:szCs w:val="22"/>
              </w:rPr>
            </w:pPr>
            <w:r w:rsidRPr="00457114">
              <w:rPr>
                <w:sz w:val="22"/>
                <w:szCs w:val="22"/>
              </w:rPr>
              <w:t>4</w:t>
            </w:r>
          </w:p>
        </w:tc>
        <w:tc>
          <w:tcPr>
            <w:tcW w:w="3311" w:type="dxa"/>
          </w:tcPr>
          <w:p w:rsidR="000E34D7" w:rsidRPr="00EF4EB0" w:rsidRDefault="000E34D7" w:rsidP="00FC3F4A">
            <w:pPr>
              <w:spacing w:after="240"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Estatuto del Personal de la Rama Administrativa del IEPAC</w:t>
            </w:r>
          </w:p>
        </w:tc>
        <w:tc>
          <w:tcPr>
            <w:tcW w:w="4452" w:type="dxa"/>
          </w:tcPr>
          <w:p w:rsidR="00753276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Líder. Lic. Carlos Alberto Dzib Pech</w:t>
            </w:r>
          </w:p>
          <w:p w:rsidR="000E34D7" w:rsidRDefault="000E34D7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F4EB0">
              <w:rPr>
                <w:sz w:val="22"/>
                <w:szCs w:val="22"/>
              </w:rPr>
              <w:t>Psic. Mayra Belem Koh Rejón</w:t>
            </w:r>
          </w:p>
          <w:p w:rsidR="00BF431B" w:rsidRDefault="00AA091D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206390">
              <w:rPr>
                <w:sz w:val="22"/>
                <w:szCs w:val="22"/>
              </w:rPr>
              <w:t xml:space="preserve">Lic. </w:t>
            </w:r>
            <w:r w:rsidR="00BF431B" w:rsidRPr="00206390">
              <w:rPr>
                <w:sz w:val="22"/>
                <w:szCs w:val="22"/>
              </w:rPr>
              <w:t xml:space="preserve">Miriam </w:t>
            </w:r>
            <w:r w:rsidR="00B224E5" w:rsidRPr="00206390">
              <w:rPr>
                <w:sz w:val="22"/>
                <w:szCs w:val="22"/>
              </w:rPr>
              <w:t xml:space="preserve">Aracely </w:t>
            </w:r>
            <w:r w:rsidR="00BF431B" w:rsidRPr="00206390">
              <w:rPr>
                <w:sz w:val="22"/>
                <w:szCs w:val="22"/>
              </w:rPr>
              <w:t>Alcocer Pacheco</w:t>
            </w:r>
          </w:p>
          <w:p w:rsidR="00BF431B" w:rsidRPr="00EF4EB0" w:rsidRDefault="00BF431B" w:rsidP="00FC3F4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:rsidR="00560016" w:rsidRDefault="00560016" w:rsidP="00FC3F4A">
      <w:pPr>
        <w:spacing w:before="240" w:after="240"/>
      </w:pPr>
      <w:r w:rsidRPr="007E58FC">
        <w:rPr>
          <w:b/>
        </w:rPr>
        <w:t>SEGUNDO</w:t>
      </w:r>
      <w:r>
        <w:t xml:space="preserve">. </w:t>
      </w:r>
      <w:r w:rsidRPr="00206390">
        <w:t>Se aprueba</w:t>
      </w:r>
      <w:r w:rsidR="00142A38" w:rsidRPr="00206390">
        <w:t xml:space="preserve"> </w:t>
      </w:r>
      <w:r w:rsidR="00B224E5" w:rsidRPr="00206390">
        <w:t>la Guía para la Elaboración de los Anteproyectos de Reformas o Adiciones a los Documentos Normativos del Instituto Electoral y de Participación Ciudadana de Yucatán</w:t>
      </w:r>
      <w:r w:rsidR="00956983" w:rsidRPr="00206390">
        <w:t>, como</w:t>
      </w:r>
      <w:r w:rsidR="00956983">
        <w:t xml:space="preserve"> directriz para las labores que realizaran los grupos de trabajo que aprobados por esta Comisión Temporal</w:t>
      </w:r>
      <w:r w:rsidR="00B224E5">
        <w:t xml:space="preserve"> de reglamentos</w:t>
      </w:r>
      <w:r w:rsidR="00956983">
        <w:t>.</w:t>
      </w:r>
    </w:p>
    <w:p w:rsidR="00B224E5" w:rsidRDefault="00B224E5" w:rsidP="00FC3F4A">
      <w:pPr>
        <w:spacing w:before="240" w:after="240"/>
      </w:pPr>
      <w:r w:rsidRPr="00B224E5">
        <w:rPr>
          <w:b/>
        </w:rPr>
        <w:t>TERCERO</w:t>
      </w:r>
      <w:r>
        <w:t xml:space="preserve">. </w:t>
      </w:r>
      <w:r w:rsidR="00401A78" w:rsidRPr="00206390">
        <w:t>Se aprueba</w:t>
      </w:r>
      <w:r w:rsidRPr="00206390">
        <w:t xml:space="preserve"> </w:t>
      </w:r>
      <w:r w:rsidR="00AA091D" w:rsidRPr="00206390">
        <w:t xml:space="preserve">el uso de un cuadro comparativo, como </w:t>
      </w:r>
      <w:r w:rsidRPr="00206390">
        <w:t xml:space="preserve">metodología </w:t>
      </w:r>
      <w:r w:rsidR="00401A78" w:rsidRPr="00206390">
        <w:t xml:space="preserve">para </w:t>
      </w:r>
      <w:r w:rsidR="00AA091D" w:rsidRPr="00206390">
        <w:t xml:space="preserve">la realización de </w:t>
      </w:r>
      <w:r w:rsidR="00401A78" w:rsidRPr="00206390">
        <w:t xml:space="preserve">los </w:t>
      </w:r>
      <w:r w:rsidR="00AA091D" w:rsidRPr="00206390">
        <w:t>ante</w:t>
      </w:r>
      <w:r w:rsidR="00401A78" w:rsidRPr="00206390">
        <w:t>proyectos de reforma o adiciones a los documentos normativos del Instituto</w:t>
      </w:r>
      <w:r w:rsidR="00AA091D" w:rsidRPr="00206390">
        <w:t>, conforme a las especificaciones señaladas en el párrafo 21 del presente acuerdo</w:t>
      </w:r>
      <w:r w:rsidR="00401A78" w:rsidRPr="00206390">
        <w:t>.</w:t>
      </w:r>
    </w:p>
    <w:p w:rsidR="00E86D23" w:rsidRDefault="00401A78" w:rsidP="00FC3F4A">
      <w:pPr>
        <w:spacing w:before="240"/>
      </w:pPr>
      <w:r>
        <w:rPr>
          <w:b/>
        </w:rPr>
        <w:t>CUARTA</w:t>
      </w:r>
      <w:r w:rsidR="00AF0BF1">
        <w:t>. Remítase copia digitalizada del presente acuerdo a los Integrantes de la Comisión</w:t>
      </w:r>
      <w:r w:rsidR="00933FFC">
        <w:t xml:space="preserve"> y a los integrantes de los grupos de trabajo.</w:t>
      </w:r>
    </w:p>
    <w:p w:rsidR="00E86D23" w:rsidRDefault="00AF0BF1" w:rsidP="00FC3F4A">
      <w:pPr>
        <w:spacing w:before="240"/>
      </w:pPr>
      <w:r>
        <w:lastRenderedPageBreak/>
        <w:t xml:space="preserve">Este Acuerdo fue aprobado en Sesión de la Comisión Temporal de Reglamentos del Consejo General celebrada el día </w:t>
      </w:r>
      <w:r w:rsidR="000E34D7">
        <w:t xml:space="preserve">dieciséis </w:t>
      </w:r>
      <w:r>
        <w:t xml:space="preserve">de abril de dos mil diecinueve, por unanimidad de votos de los Consejeros Electorales </w:t>
      </w:r>
      <w:r w:rsidR="007E58FC">
        <w:t>integrantes de la Comisión</w:t>
      </w:r>
      <w:r>
        <w:t xml:space="preserve">, </w:t>
      </w:r>
      <w:bookmarkStart w:id="7" w:name="_Hlk5874514"/>
      <w:r>
        <w:t>Licenciado José Antonio Gabriel Martínez Magaña</w:t>
      </w:r>
      <w:bookmarkEnd w:id="7"/>
      <w:r>
        <w:t>, Maestro Antonio Ignacio Matute González</w:t>
      </w:r>
      <w:r w:rsidR="00455C84">
        <w:t xml:space="preserve"> y </w:t>
      </w:r>
      <w:r>
        <w:t>Licenciado Jorge Antonio Vallejo Buenfil.</w:t>
      </w:r>
    </w:p>
    <w:p w:rsidR="00F9213D" w:rsidRDefault="00F9213D" w:rsidP="00FC3F4A">
      <w:pPr>
        <w:spacing w:before="240"/>
      </w:pP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4420"/>
        <w:gridCol w:w="4418"/>
      </w:tblGrid>
      <w:tr w:rsidR="00F9213D" w:rsidTr="006D7D0B"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sz w:val="22"/>
              </w:rPr>
              <w:t>Lic. José Antonio Gabriel Martínez Magaña,</w:t>
            </w: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sz w:val="22"/>
              </w:rPr>
              <w:t>Presidente de la Comisión.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sz w:val="22"/>
              </w:rPr>
              <w:t>Lic. Jorge Antonio Vallejo Buenfil,</w:t>
            </w: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sz w:val="22"/>
              </w:rPr>
              <w:t>Consejero Electoral integrante de la Comisión.</w:t>
            </w:r>
          </w:p>
        </w:tc>
      </w:tr>
      <w:tr w:rsidR="00F9213D" w:rsidTr="006D7D0B"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sz w:val="22"/>
              </w:rPr>
              <w:t>Maestro Antonio Ignacio Matute González,</w:t>
            </w: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sz w:val="22"/>
              </w:rPr>
              <w:t>Consejero Electoral integrante de la Comisión.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cs="Arial"/>
                <w:b/>
              </w:rPr>
            </w:pPr>
          </w:p>
          <w:p w:rsidR="00F9213D" w:rsidRDefault="00F9213D" w:rsidP="006D7D0B">
            <w:pPr>
              <w:tabs>
                <w:tab w:val="left" w:pos="5760"/>
              </w:tabs>
              <w:spacing w:line="30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/>
                <w:b/>
                <w:sz w:val="22"/>
              </w:rPr>
              <w:t>Licenciado Carlos Alberto Dzib Pech, Secretario Técnico de la Comisión.</w:t>
            </w:r>
          </w:p>
        </w:tc>
      </w:tr>
    </w:tbl>
    <w:p w:rsidR="00F9213D" w:rsidRDefault="00F9213D" w:rsidP="00FC3F4A">
      <w:pPr>
        <w:spacing w:before="240"/>
      </w:pPr>
    </w:p>
    <w:p w:rsidR="00F9213D" w:rsidRDefault="00F9213D" w:rsidP="00FC3F4A">
      <w:pPr>
        <w:spacing w:before="240"/>
      </w:pPr>
    </w:p>
    <w:p w:rsidR="004E06B3" w:rsidRDefault="004E06B3" w:rsidP="00181C20">
      <w:pPr>
        <w:spacing w:before="240"/>
      </w:pPr>
    </w:p>
    <w:sectPr w:rsidR="004E06B3" w:rsidSect="007E58FC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1134" w:footer="0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10F" w:rsidRDefault="0009610F">
      <w:pPr>
        <w:spacing w:line="240" w:lineRule="auto"/>
      </w:pPr>
      <w:r>
        <w:separator/>
      </w:r>
    </w:p>
  </w:endnote>
  <w:endnote w:type="continuationSeparator" w:id="0">
    <w:p w:rsidR="0009610F" w:rsidRDefault="00096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10F" w:rsidRDefault="0009610F">
      <w:r>
        <w:separator/>
      </w:r>
    </w:p>
  </w:footnote>
  <w:footnote w:type="continuationSeparator" w:id="0">
    <w:p w:rsidR="0009610F" w:rsidRDefault="0009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80" w:rsidRDefault="00A44270">
    <w:pPr>
      <w:pStyle w:val="Encabezado"/>
    </w:pPr>
    <w:r>
      <w:fldChar w:fldCharType="begin"/>
    </w:r>
    <w:r w:rsidR="00831280">
      <w:instrText>PAGE</w:instrText>
    </w:r>
    <w:r>
      <w:fldChar w:fldCharType="separate"/>
    </w:r>
    <w:r w:rsidR="00A45429">
      <w:rPr>
        <w:noProof/>
      </w:rPr>
      <w:t>12</w:t>
    </w:r>
    <w:r>
      <w:fldChar w:fldCharType="end"/>
    </w:r>
    <w:r w:rsidR="00831280">
      <w:tab/>
    </w:r>
    <w:r w:rsidR="00831280">
      <w:tab/>
      <w:t>CTRCG/001/2019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80" w:rsidRDefault="00831280">
    <w:pPr>
      <w:pStyle w:val="Encabezado"/>
    </w:pPr>
    <w:r>
      <w:t>CTRCG/001/2019</w:t>
    </w:r>
    <w:r>
      <w:tab/>
    </w:r>
    <w:r>
      <w:tab/>
    </w:r>
    <w:r w:rsidR="00A44270">
      <w:fldChar w:fldCharType="begin"/>
    </w:r>
    <w:r>
      <w:instrText>PAGE</w:instrText>
    </w:r>
    <w:r w:rsidR="00A44270">
      <w:fldChar w:fldCharType="separate"/>
    </w:r>
    <w:r w:rsidR="00A45429">
      <w:rPr>
        <w:noProof/>
      </w:rPr>
      <w:t>11</w:t>
    </w:r>
    <w:r w:rsidR="00A4427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80" w:rsidRDefault="00831280">
    <w:pPr>
      <w:pStyle w:val="Encabezado"/>
    </w:pPr>
    <w:r>
      <w:t>CTRCG/001/2019</w:t>
    </w:r>
    <w:r>
      <w:tab/>
    </w:r>
    <w:r>
      <w:tab/>
    </w:r>
    <w:r w:rsidR="00A44270">
      <w:fldChar w:fldCharType="begin"/>
    </w:r>
    <w:r>
      <w:instrText>PAGE</w:instrText>
    </w:r>
    <w:r w:rsidR="00A44270">
      <w:fldChar w:fldCharType="separate"/>
    </w:r>
    <w:r w:rsidR="00A45429">
      <w:rPr>
        <w:noProof/>
      </w:rPr>
      <w:t>1</w:t>
    </w:r>
    <w:r w:rsidR="00A4427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346B"/>
    <w:multiLevelType w:val="multilevel"/>
    <w:tmpl w:val="55DA0E0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C12851"/>
    <w:multiLevelType w:val="multilevel"/>
    <w:tmpl w:val="EF5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4DD4359"/>
    <w:multiLevelType w:val="multilevel"/>
    <w:tmpl w:val="05C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23"/>
    <w:rsid w:val="000231E1"/>
    <w:rsid w:val="000702E1"/>
    <w:rsid w:val="0009610F"/>
    <w:rsid w:val="000A3F4B"/>
    <w:rsid w:val="000E34D7"/>
    <w:rsid w:val="000F43B6"/>
    <w:rsid w:val="00142A38"/>
    <w:rsid w:val="001431B6"/>
    <w:rsid w:val="00154817"/>
    <w:rsid w:val="00181C20"/>
    <w:rsid w:val="001B5A6B"/>
    <w:rsid w:val="001D210A"/>
    <w:rsid w:val="00206390"/>
    <w:rsid w:val="0022588D"/>
    <w:rsid w:val="002A562C"/>
    <w:rsid w:val="002C74CB"/>
    <w:rsid w:val="0030413F"/>
    <w:rsid w:val="00334D3E"/>
    <w:rsid w:val="003C2A6A"/>
    <w:rsid w:val="003D1869"/>
    <w:rsid w:val="003E0DB7"/>
    <w:rsid w:val="00401A78"/>
    <w:rsid w:val="0040530F"/>
    <w:rsid w:val="004229F8"/>
    <w:rsid w:val="0042576D"/>
    <w:rsid w:val="0044694E"/>
    <w:rsid w:val="00455C84"/>
    <w:rsid w:val="00457114"/>
    <w:rsid w:val="00482416"/>
    <w:rsid w:val="004E06B3"/>
    <w:rsid w:val="00560016"/>
    <w:rsid w:val="00685422"/>
    <w:rsid w:val="006A2489"/>
    <w:rsid w:val="006B6B5B"/>
    <w:rsid w:val="006C00E0"/>
    <w:rsid w:val="006C3312"/>
    <w:rsid w:val="00700940"/>
    <w:rsid w:val="00730C2A"/>
    <w:rsid w:val="00751036"/>
    <w:rsid w:val="00753276"/>
    <w:rsid w:val="00767A44"/>
    <w:rsid w:val="0077660D"/>
    <w:rsid w:val="00785644"/>
    <w:rsid w:val="007869CA"/>
    <w:rsid w:val="007E58FC"/>
    <w:rsid w:val="007E5D00"/>
    <w:rsid w:val="007E7D6D"/>
    <w:rsid w:val="007F56C8"/>
    <w:rsid w:val="00800948"/>
    <w:rsid w:val="00831280"/>
    <w:rsid w:val="0084443B"/>
    <w:rsid w:val="00857C7F"/>
    <w:rsid w:val="00873F05"/>
    <w:rsid w:val="008A1C2E"/>
    <w:rsid w:val="008B0222"/>
    <w:rsid w:val="00933FFC"/>
    <w:rsid w:val="00956983"/>
    <w:rsid w:val="009B5E06"/>
    <w:rsid w:val="009B7812"/>
    <w:rsid w:val="009E4CBF"/>
    <w:rsid w:val="00A0710B"/>
    <w:rsid w:val="00A16309"/>
    <w:rsid w:val="00A212F8"/>
    <w:rsid w:val="00A44270"/>
    <w:rsid w:val="00A45429"/>
    <w:rsid w:val="00A53DBF"/>
    <w:rsid w:val="00A57505"/>
    <w:rsid w:val="00A67AB7"/>
    <w:rsid w:val="00A9704F"/>
    <w:rsid w:val="00AA091D"/>
    <w:rsid w:val="00AE5DA0"/>
    <w:rsid w:val="00AF0BF1"/>
    <w:rsid w:val="00B224E5"/>
    <w:rsid w:val="00B8358E"/>
    <w:rsid w:val="00B84B13"/>
    <w:rsid w:val="00BA7840"/>
    <w:rsid w:val="00BE770A"/>
    <w:rsid w:val="00BF431B"/>
    <w:rsid w:val="00C04DE0"/>
    <w:rsid w:val="00C32BD7"/>
    <w:rsid w:val="00C3389A"/>
    <w:rsid w:val="00C76856"/>
    <w:rsid w:val="00CB7A8D"/>
    <w:rsid w:val="00CD3EE5"/>
    <w:rsid w:val="00D24BD2"/>
    <w:rsid w:val="00D32C2B"/>
    <w:rsid w:val="00D8550A"/>
    <w:rsid w:val="00DE4FC2"/>
    <w:rsid w:val="00E312A8"/>
    <w:rsid w:val="00E64A05"/>
    <w:rsid w:val="00E86D23"/>
    <w:rsid w:val="00EB4168"/>
    <w:rsid w:val="00EF4EB0"/>
    <w:rsid w:val="00F10D43"/>
    <w:rsid w:val="00F2664C"/>
    <w:rsid w:val="00F44056"/>
    <w:rsid w:val="00F45DFC"/>
    <w:rsid w:val="00F5508B"/>
    <w:rsid w:val="00F9213D"/>
    <w:rsid w:val="00FC1CA1"/>
    <w:rsid w:val="00FC22E8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9AF63-D9EF-4377-95F9-5813A77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BF"/>
    <w:pPr>
      <w:spacing w:line="360" w:lineRule="auto"/>
      <w:ind w:firstLine="283"/>
      <w:jc w:val="both"/>
    </w:pPr>
    <w:rPr>
      <w:rFonts w:ascii="Arial" w:hAnsi="Arial"/>
    </w:rPr>
  </w:style>
  <w:style w:type="paragraph" w:styleId="Ttulo1">
    <w:name w:val="heading 1"/>
    <w:basedOn w:val="Normal"/>
    <w:next w:val="Textoindependiente"/>
    <w:uiPriority w:val="9"/>
    <w:qFormat/>
    <w:rsid w:val="009E4CBF"/>
    <w:pPr>
      <w:numPr>
        <w:numId w:val="1"/>
      </w:numPr>
      <w:spacing w:before="240" w:after="120"/>
      <w:outlineLvl w:val="0"/>
    </w:pPr>
    <w:rPr>
      <w:b/>
      <w:bCs/>
      <w:sz w:val="28"/>
      <w:szCs w:val="36"/>
    </w:rPr>
  </w:style>
  <w:style w:type="paragraph" w:styleId="Ttulo2">
    <w:name w:val="heading 2"/>
    <w:basedOn w:val="Normal"/>
    <w:next w:val="Textoindependiente"/>
    <w:uiPriority w:val="9"/>
    <w:unhideWhenUsed/>
    <w:qFormat/>
    <w:rsid w:val="009E4CBF"/>
    <w:pPr>
      <w:numPr>
        <w:ilvl w:val="1"/>
        <w:numId w:val="1"/>
      </w:numPr>
      <w:spacing w:before="200" w:after="120"/>
      <w:jc w:val="center"/>
      <w:outlineLvl w:val="1"/>
    </w:pPr>
    <w:rPr>
      <w:b/>
      <w:bCs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E4CBF"/>
    <w:pPr>
      <w:numPr>
        <w:ilvl w:val="2"/>
        <w:numId w:val="1"/>
      </w:numPr>
      <w:spacing w:before="140" w:after="120"/>
      <w:outlineLvl w:val="2"/>
    </w:pPr>
    <w:rPr>
      <w:b/>
      <w:bCs/>
      <w:cap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9E4CBF"/>
    <w:rPr>
      <w:color w:val="000080"/>
      <w:u w:val="single"/>
    </w:rPr>
  </w:style>
  <w:style w:type="character" w:customStyle="1" w:styleId="Enlacedelndice">
    <w:name w:val="Enlace del índice"/>
    <w:qFormat/>
    <w:rsid w:val="009E4CBF"/>
  </w:style>
  <w:style w:type="character" w:customStyle="1" w:styleId="Vietas">
    <w:name w:val="Viñetas"/>
    <w:qFormat/>
    <w:rsid w:val="009E4CBF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qFormat/>
    <w:rsid w:val="009E4CBF"/>
  </w:style>
  <w:style w:type="character" w:customStyle="1" w:styleId="Ancladenotaalpie">
    <w:name w:val="Ancla de nota al pie"/>
    <w:rsid w:val="009E4CBF"/>
    <w:rPr>
      <w:vertAlign w:val="superscript"/>
    </w:rPr>
  </w:style>
  <w:style w:type="character" w:customStyle="1" w:styleId="Ancladenotafinal">
    <w:name w:val="Ancla de nota final"/>
    <w:rsid w:val="009E4CBF"/>
    <w:rPr>
      <w:vertAlign w:val="superscript"/>
    </w:rPr>
  </w:style>
  <w:style w:type="character" w:customStyle="1" w:styleId="Caracteresdenotafinal">
    <w:name w:val="Caracteres de nota final"/>
    <w:qFormat/>
    <w:rsid w:val="009E4CBF"/>
  </w:style>
  <w:style w:type="paragraph" w:styleId="Ttulo">
    <w:name w:val="Title"/>
    <w:basedOn w:val="Normal"/>
    <w:next w:val="Textoindependiente"/>
    <w:uiPriority w:val="10"/>
    <w:qFormat/>
    <w:rsid w:val="009E4CBF"/>
    <w:pPr>
      <w:spacing w:before="238" w:after="119"/>
      <w:ind w:firstLine="0"/>
    </w:pPr>
    <w:rPr>
      <w:b/>
      <w:bCs/>
      <w:sz w:val="28"/>
      <w:szCs w:val="56"/>
    </w:rPr>
  </w:style>
  <w:style w:type="paragraph" w:styleId="Textoindependiente">
    <w:name w:val="Body Text"/>
    <w:basedOn w:val="Normal"/>
    <w:rsid w:val="009E4CBF"/>
    <w:pPr>
      <w:spacing w:after="140" w:line="276" w:lineRule="auto"/>
    </w:pPr>
  </w:style>
  <w:style w:type="paragraph" w:styleId="Lista">
    <w:name w:val="List"/>
    <w:basedOn w:val="Textoindependiente"/>
    <w:rsid w:val="009E4CBF"/>
  </w:style>
  <w:style w:type="paragraph" w:styleId="Descripcin">
    <w:name w:val="caption"/>
    <w:basedOn w:val="Normal"/>
    <w:qFormat/>
    <w:rsid w:val="009E4CB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E4CBF"/>
    <w:pPr>
      <w:suppressLineNumbers/>
    </w:pPr>
  </w:style>
  <w:style w:type="paragraph" w:styleId="Encabezado">
    <w:name w:val="header"/>
    <w:basedOn w:val="Normal"/>
    <w:rsid w:val="009E4CBF"/>
    <w:pPr>
      <w:suppressLineNumbers/>
      <w:tabs>
        <w:tab w:val="center" w:pos="4986"/>
        <w:tab w:val="right" w:pos="9972"/>
      </w:tabs>
    </w:pPr>
    <w:rPr>
      <w:b/>
      <w:sz w:val="16"/>
    </w:rPr>
  </w:style>
  <w:style w:type="paragraph" w:styleId="Encabezadodelista">
    <w:name w:val="toa heading"/>
    <w:basedOn w:val="Normal"/>
    <w:rsid w:val="009E4CBF"/>
    <w:pPr>
      <w:suppressLineNumbers/>
      <w:ind w:firstLine="0"/>
    </w:pPr>
    <w:rPr>
      <w:b/>
      <w:bCs/>
      <w:smallCaps/>
      <w:sz w:val="32"/>
      <w:szCs w:val="32"/>
    </w:rPr>
  </w:style>
  <w:style w:type="paragraph" w:styleId="TDC1">
    <w:name w:val="toc 1"/>
    <w:basedOn w:val="ndice"/>
    <w:rsid w:val="009E4CBF"/>
    <w:pPr>
      <w:tabs>
        <w:tab w:val="right" w:leader="dot" w:pos="9972"/>
      </w:tabs>
      <w:ind w:firstLine="0"/>
    </w:pPr>
  </w:style>
  <w:style w:type="paragraph" w:styleId="TDC2">
    <w:name w:val="toc 2"/>
    <w:basedOn w:val="ndice"/>
    <w:rsid w:val="009E4CBF"/>
    <w:pPr>
      <w:tabs>
        <w:tab w:val="right" w:leader="dot" w:pos="9689"/>
      </w:tabs>
      <w:ind w:left="283" w:firstLine="0"/>
    </w:pPr>
  </w:style>
  <w:style w:type="paragraph" w:styleId="TDC3">
    <w:name w:val="toc 3"/>
    <w:basedOn w:val="ndice"/>
    <w:rsid w:val="009E4CBF"/>
    <w:pPr>
      <w:tabs>
        <w:tab w:val="right" w:leader="dot" w:pos="9406"/>
      </w:tabs>
      <w:ind w:left="566" w:firstLine="0"/>
    </w:pPr>
  </w:style>
  <w:style w:type="paragraph" w:styleId="Textoindependienteprimerasangra">
    <w:name w:val="Body Text First Indent"/>
    <w:basedOn w:val="Textoindependiente"/>
    <w:rsid w:val="009E4CBF"/>
  </w:style>
  <w:style w:type="paragraph" w:customStyle="1" w:styleId="Sangrafrancesa">
    <w:name w:val="Sangría francesa"/>
    <w:basedOn w:val="Textoindependiente"/>
    <w:qFormat/>
    <w:rsid w:val="009E4CBF"/>
    <w:pPr>
      <w:tabs>
        <w:tab w:val="left" w:pos="0"/>
      </w:tabs>
      <w:ind w:left="567" w:hanging="283"/>
    </w:pPr>
  </w:style>
  <w:style w:type="paragraph" w:styleId="Subttulo">
    <w:name w:val="Subtitle"/>
    <w:basedOn w:val="Normal"/>
    <w:next w:val="Textoindependiente"/>
    <w:uiPriority w:val="11"/>
    <w:qFormat/>
    <w:rsid w:val="009E4CBF"/>
    <w:pPr>
      <w:spacing w:before="60" w:after="120"/>
      <w:jc w:val="center"/>
    </w:pPr>
    <w:rPr>
      <w:b/>
      <w:sz w:val="28"/>
      <w:szCs w:val="36"/>
    </w:rPr>
  </w:style>
  <w:style w:type="paragraph" w:styleId="Textonotapie">
    <w:name w:val="footnote text"/>
    <w:basedOn w:val="Normal"/>
    <w:rsid w:val="009E4CBF"/>
    <w:pPr>
      <w:suppressLineNumbers/>
      <w:ind w:left="339" w:hanging="339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70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31B6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B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FAA0-ED20-4FCA-B37A-FC845B53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3266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Hurtado Navarro</dc:creator>
  <dc:description/>
  <cp:lastModifiedBy>Lic. Carlos Dzib</cp:lastModifiedBy>
  <cp:revision>2</cp:revision>
  <cp:lastPrinted>2019-04-17T20:10:00Z</cp:lastPrinted>
  <dcterms:created xsi:type="dcterms:W3CDTF">2019-06-06T15:39:00Z</dcterms:created>
  <dcterms:modified xsi:type="dcterms:W3CDTF">2019-06-06T15:39:00Z</dcterms:modified>
  <dc:language>es-MX</dc:language>
</cp:coreProperties>
</file>