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Default="004A1905" w:rsidP="00DD076E">
      <w:pPr>
        <w:spacing w:line="276" w:lineRule="auto"/>
        <w:jc w:val="center"/>
        <w:rPr>
          <w:rStyle w:val="Textoennegrita"/>
          <w:rFonts w:ascii="Arial" w:hAnsi="Arial" w:cs="Arial"/>
          <w:sz w:val="22"/>
          <w:szCs w:val="22"/>
        </w:rPr>
      </w:pPr>
      <w:r w:rsidRPr="002867EB">
        <w:rPr>
          <w:rStyle w:val="Textoennegrita"/>
          <w:rFonts w:ascii="Arial" w:hAnsi="Arial" w:cs="Arial"/>
          <w:sz w:val="22"/>
          <w:szCs w:val="22"/>
        </w:rPr>
        <w:t>ACUERDO C.G.-</w:t>
      </w:r>
      <w:r w:rsidR="00244CE2">
        <w:rPr>
          <w:rStyle w:val="Textoennegrita"/>
          <w:rFonts w:ascii="Arial" w:hAnsi="Arial" w:cs="Arial"/>
          <w:sz w:val="22"/>
          <w:szCs w:val="22"/>
        </w:rPr>
        <w:t>112</w:t>
      </w:r>
      <w:r w:rsidR="005B6567">
        <w:rPr>
          <w:rStyle w:val="Textoennegrita"/>
          <w:rFonts w:ascii="Arial" w:hAnsi="Arial" w:cs="Arial"/>
          <w:sz w:val="22"/>
          <w:szCs w:val="22"/>
        </w:rPr>
        <w:t>/</w:t>
      </w:r>
      <w:r w:rsidR="00444914" w:rsidRPr="002867EB">
        <w:rPr>
          <w:rStyle w:val="Textoennegrita"/>
          <w:rFonts w:ascii="Arial" w:hAnsi="Arial" w:cs="Arial"/>
          <w:sz w:val="22"/>
          <w:szCs w:val="22"/>
        </w:rPr>
        <w:t>20</w:t>
      </w:r>
      <w:r w:rsidR="00001E59" w:rsidRPr="002867EB">
        <w:rPr>
          <w:rStyle w:val="Textoennegrita"/>
          <w:rFonts w:ascii="Arial" w:hAnsi="Arial" w:cs="Arial"/>
          <w:sz w:val="22"/>
          <w:szCs w:val="22"/>
        </w:rPr>
        <w:t>1</w:t>
      </w:r>
      <w:r w:rsidR="00B273D2" w:rsidRPr="002867EB">
        <w:rPr>
          <w:rStyle w:val="Textoennegrita"/>
          <w:rFonts w:ascii="Arial" w:hAnsi="Arial" w:cs="Arial"/>
          <w:sz w:val="22"/>
          <w:szCs w:val="22"/>
        </w:rPr>
        <w:t>8</w:t>
      </w:r>
    </w:p>
    <w:p w:rsidR="004E7883" w:rsidRPr="002867EB" w:rsidRDefault="004E7883" w:rsidP="00DD076E">
      <w:pPr>
        <w:spacing w:line="276" w:lineRule="auto"/>
        <w:jc w:val="center"/>
        <w:rPr>
          <w:rStyle w:val="Textoennegrita"/>
          <w:rFonts w:ascii="Arial" w:hAnsi="Arial" w:cs="Arial"/>
          <w:sz w:val="22"/>
          <w:szCs w:val="22"/>
        </w:rPr>
      </w:pPr>
    </w:p>
    <w:p w:rsidR="00154F37" w:rsidRDefault="002D0888" w:rsidP="00154F37">
      <w:pPr>
        <w:ind w:left="-284" w:right="-285"/>
        <w:jc w:val="both"/>
        <w:rPr>
          <w:rFonts w:ascii="Arial" w:hAnsi="Arial" w:cs="Arial"/>
          <w:b/>
          <w:sz w:val="22"/>
          <w:szCs w:val="22"/>
        </w:rPr>
      </w:pPr>
      <w:r w:rsidRPr="002D0888">
        <w:rPr>
          <w:rFonts w:ascii="Arial" w:hAnsi="Arial" w:cs="Arial"/>
          <w:b/>
          <w:sz w:val="22"/>
          <w:szCs w:val="22"/>
        </w:rPr>
        <w:t>ACUERDO DEL CONSEJO GENERAL DEL INSTITUTO ELECTORAL Y DE PARTICIPACIÓN CIUDADANA DE YUCATÁN, POR EL CUAL SE SUSTITUYE A UNA CONSEJERA ELECTORAL, DEL CONSEJO MUNICIPAL ELECTORAL DE TEKAX, YUCATÁN</w:t>
      </w:r>
    </w:p>
    <w:p w:rsidR="00154F37" w:rsidRPr="007411B8" w:rsidRDefault="00154F37"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4E7883" w:rsidRPr="002867EB" w:rsidRDefault="004E7883" w:rsidP="00DD076E">
      <w:pPr>
        <w:spacing w:line="276" w:lineRule="auto"/>
        <w:ind w:left="-142" w:right="-143"/>
        <w:jc w:val="center"/>
        <w:rPr>
          <w:rFonts w:ascii="Arial" w:eastAsia="SimSun" w:hAnsi="Arial" w:cs="Arial"/>
          <w:b/>
          <w:sz w:val="22"/>
          <w:szCs w:val="22"/>
          <w:lang w:eastAsia="zh-CN"/>
        </w:rPr>
      </w:pPr>
    </w:p>
    <w:p w:rsidR="00061078" w:rsidRPr="004B5E73" w:rsidRDefault="00A11D22" w:rsidP="00BD139E">
      <w:pPr>
        <w:ind w:left="425" w:right="-285" w:hanging="709"/>
        <w:jc w:val="both"/>
        <w:rPr>
          <w:rFonts w:ascii="Arial" w:eastAsia="Calibri" w:hAnsi="Arial" w:cs="Arial"/>
          <w:sz w:val="18"/>
          <w:szCs w:val="18"/>
          <w:lang w:val="es-MX" w:eastAsia="en-US"/>
        </w:rPr>
      </w:pPr>
      <w:r w:rsidRPr="004B5E73">
        <w:rPr>
          <w:rFonts w:ascii="Arial" w:eastAsia="SimSun" w:hAnsi="Arial" w:cs="Arial"/>
          <w:b/>
          <w:sz w:val="18"/>
          <w:szCs w:val="18"/>
          <w:lang w:eastAsia="zh-CN"/>
        </w:rPr>
        <w:t xml:space="preserve">COMISIÓN </w:t>
      </w:r>
      <w:r w:rsidR="007E645E" w:rsidRPr="004B5E73">
        <w:rPr>
          <w:rFonts w:ascii="Arial" w:eastAsia="SimSun" w:hAnsi="Arial" w:cs="Arial"/>
          <w:b/>
          <w:sz w:val="18"/>
          <w:szCs w:val="18"/>
          <w:lang w:eastAsia="zh-CN"/>
        </w:rPr>
        <w:t>ESPECIAL:</w:t>
      </w:r>
      <w:r w:rsidR="00F148B9" w:rsidRPr="004B5E73">
        <w:rPr>
          <w:rFonts w:ascii="Arial" w:eastAsia="SimSun" w:hAnsi="Arial" w:cs="Arial"/>
          <w:b/>
          <w:sz w:val="18"/>
          <w:szCs w:val="18"/>
          <w:lang w:eastAsia="zh-CN"/>
        </w:rPr>
        <w:t xml:space="preserve"> </w:t>
      </w:r>
      <w:r w:rsidR="00061078" w:rsidRPr="004B5E73">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4B5E73" w:rsidRDefault="001A62D4" w:rsidP="00BD139E">
      <w:pPr>
        <w:ind w:left="425" w:right="-285" w:hanging="709"/>
        <w:jc w:val="both"/>
        <w:rPr>
          <w:rFonts w:ascii="Arial" w:eastAsia="SimSun" w:hAnsi="Arial" w:cs="Arial"/>
          <w:b/>
          <w:i/>
          <w:sz w:val="18"/>
          <w:szCs w:val="18"/>
          <w:lang w:eastAsia="zh-CN"/>
        </w:rPr>
      </w:pPr>
      <w:r w:rsidRPr="004B5E73">
        <w:rPr>
          <w:rFonts w:ascii="Arial" w:eastAsia="SimSun" w:hAnsi="Arial" w:cs="Arial"/>
          <w:b/>
          <w:sz w:val="18"/>
          <w:szCs w:val="18"/>
          <w:lang w:eastAsia="zh-CN"/>
        </w:rPr>
        <w:t xml:space="preserve">CPEUM: </w:t>
      </w:r>
      <w:r w:rsidRPr="004B5E73">
        <w:rPr>
          <w:rFonts w:ascii="Arial" w:eastAsia="SimSun" w:hAnsi="Arial" w:cs="Arial"/>
          <w:i/>
          <w:sz w:val="18"/>
          <w:szCs w:val="18"/>
          <w:lang w:eastAsia="zh-CN"/>
        </w:rPr>
        <w:t>Constitución Política de los Estados Unidos Mexicanos.</w:t>
      </w:r>
      <w:r w:rsidRPr="004B5E73">
        <w:rPr>
          <w:rFonts w:ascii="Arial" w:eastAsia="SimSun" w:hAnsi="Arial" w:cs="Arial"/>
          <w:b/>
          <w:i/>
          <w:sz w:val="18"/>
          <w:szCs w:val="18"/>
          <w:lang w:eastAsia="zh-CN"/>
        </w:rPr>
        <w:t xml:space="preserve"> </w:t>
      </w:r>
    </w:p>
    <w:p w:rsidR="001A62D4" w:rsidRPr="004B5E73" w:rsidRDefault="001A62D4" w:rsidP="00BD139E">
      <w:pPr>
        <w:ind w:left="-284" w:right="-285"/>
        <w:jc w:val="both"/>
        <w:rPr>
          <w:rFonts w:ascii="Arial" w:eastAsia="SimSun" w:hAnsi="Arial" w:cs="Arial"/>
          <w:sz w:val="18"/>
          <w:szCs w:val="18"/>
          <w:lang w:eastAsia="zh-CN"/>
        </w:rPr>
      </w:pPr>
      <w:r w:rsidRPr="004B5E73">
        <w:rPr>
          <w:rFonts w:ascii="Arial" w:eastAsia="SimSun" w:hAnsi="Arial" w:cs="Arial"/>
          <w:b/>
          <w:sz w:val="18"/>
          <w:szCs w:val="18"/>
          <w:lang w:eastAsia="zh-CN"/>
        </w:rPr>
        <w:t xml:space="preserve">CPEY: </w:t>
      </w:r>
      <w:r w:rsidRPr="004B5E73">
        <w:rPr>
          <w:rFonts w:ascii="Arial" w:eastAsia="SimSun" w:hAnsi="Arial" w:cs="Arial"/>
          <w:i/>
          <w:sz w:val="18"/>
          <w:szCs w:val="18"/>
          <w:lang w:eastAsia="zh-CN"/>
        </w:rPr>
        <w:t>Constitución Política del Estado de Yucatán.</w:t>
      </w:r>
    </w:p>
    <w:p w:rsidR="001A62D4" w:rsidRPr="004B5E73" w:rsidRDefault="001A62D4" w:rsidP="00BD139E">
      <w:pPr>
        <w:ind w:left="-284" w:right="-285"/>
        <w:jc w:val="both"/>
        <w:rPr>
          <w:rFonts w:ascii="Arial" w:eastAsia="SimSun" w:hAnsi="Arial" w:cs="Arial"/>
          <w:sz w:val="18"/>
          <w:szCs w:val="18"/>
          <w:lang w:eastAsia="zh-CN"/>
        </w:rPr>
      </w:pPr>
      <w:r w:rsidRPr="004B5E73">
        <w:rPr>
          <w:rFonts w:ascii="Arial" w:eastAsia="SimSun" w:hAnsi="Arial" w:cs="Arial"/>
          <w:b/>
          <w:sz w:val="18"/>
          <w:szCs w:val="18"/>
          <w:lang w:eastAsia="zh-CN"/>
        </w:rPr>
        <w:t xml:space="preserve">INE: </w:t>
      </w:r>
      <w:r w:rsidRPr="004B5E73">
        <w:rPr>
          <w:rFonts w:ascii="Arial" w:eastAsia="SimSun" w:hAnsi="Arial" w:cs="Arial"/>
          <w:i/>
          <w:sz w:val="18"/>
          <w:szCs w:val="18"/>
          <w:lang w:eastAsia="zh-CN"/>
        </w:rPr>
        <w:t>Instituto Nacional Electoral.</w:t>
      </w:r>
    </w:p>
    <w:p w:rsidR="001A62D4"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 xml:space="preserve">INSTITUTO: </w:t>
      </w:r>
      <w:r w:rsidRPr="004B5E73">
        <w:rPr>
          <w:rFonts w:ascii="Arial" w:eastAsia="SimSun" w:hAnsi="Arial" w:cs="Arial"/>
          <w:i/>
          <w:sz w:val="18"/>
          <w:szCs w:val="18"/>
          <w:lang w:eastAsia="zh-CN"/>
        </w:rPr>
        <w:t>Instituto Electoral y de Participación Ciudadana de Yucatán.</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 xml:space="preserve">LGIPE: </w:t>
      </w:r>
      <w:r w:rsidRPr="004B5E73">
        <w:rPr>
          <w:rFonts w:ascii="Arial" w:eastAsia="SimSun" w:hAnsi="Arial" w:cs="Arial"/>
          <w:i/>
          <w:sz w:val="18"/>
          <w:szCs w:val="18"/>
          <w:lang w:eastAsia="zh-CN"/>
        </w:rPr>
        <w:t>Ley General de Instituciones y Procedimientos Electorales.</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LIPEEY:</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Ley de Instituciones y Procedimientos Electorales del Estado de Yucatán.</w:t>
      </w:r>
    </w:p>
    <w:p w:rsidR="001A62D4" w:rsidRPr="004B5E73" w:rsidRDefault="001A62D4" w:rsidP="00BD139E">
      <w:pPr>
        <w:ind w:left="-284" w:right="-285"/>
        <w:jc w:val="both"/>
        <w:rPr>
          <w:rFonts w:ascii="Arial" w:eastAsia="SimSun" w:hAnsi="Arial" w:cs="Arial"/>
          <w:b/>
          <w:i/>
          <w:sz w:val="18"/>
          <w:szCs w:val="18"/>
          <w:lang w:eastAsia="zh-CN"/>
        </w:rPr>
      </w:pPr>
      <w:r w:rsidRPr="004B5E73">
        <w:rPr>
          <w:rFonts w:ascii="Arial" w:eastAsia="SimSun" w:hAnsi="Arial" w:cs="Arial"/>
          <w:b/>
          <w:sz w:val="18"/>
          <w:szCs w:val="18"/>
          <w:lang w:eastAsia="zh-CN"/>
        </w:rPr>
        <w:t>OPL:</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Organismo Público Local Electoral.</w:t>
      </w:r>
      <w:r w:rsidRPr="004B5E73">
        <w:rPr>
          <w:rFonts w:ascii="Arial" w:eastAsia="SimSun" w:hAnsi="Arial" w:cs="Arial"/>
          <w:b/>
          <w:i/>
          <w:sz w:val="18"/>
          <w:szCs w:val="18"/>
          <w:lang w:eastAsia="zh-CN"/>
        </w:rPr>
        <w:t xml:space="preserve"> </w:t>
      </w:r>
    </w:p>
    <w:p w:rsidR="00010837" w:rsidRPr="004B5E73" w:rsidRDefault="001A62D4" w:rsidP="00BD139E">
      <w:pPr>
        <w:ind w:left="-284" w:right="-285"/>
        <w:jc w:val="both"/>
        <w:rPr>
          <w:rFonts w:ascii="Arial" w:eastAsia="SimSun" w:hAnsi="Arial" w:cs="Arial"/>
          <w:i/>
          <w:sz w:val="18"/>
          <w:szCs w:val="18"/>
          <w:lang w:eastAsia="zh-CN"/>
        </w:rPr>
      </w:pPr>
      <w:r w:rsidRPr="004B5E73">
        <w:rPr>
          <w:rFonts w:ascii="Arial" w:eastAsia="SimSun" w:hAnsi="Arial" w:cs="Arial"/>
          <w:b/>
          <w:sz w:val="18"/>
          <w:szCs w:val="18"/>
          <w:lang w:eastAsia="zh-CN"/>
        </w:rPr>
        <w:t>RE:</w:t>
      </w:r>
      <w:r w:rsidRPr="004B5E73">
        <w:rPr>
          <w:rFonts w:ascii="Arial" w:eastAsia="SimSun" w:hAnsi="Arial" w:cs="Arial"/>
          <w:b/>
          <w:i/>
          <w:sz w:val="18"/>
          <w:szCs w:val="18"/>
          <w:lang w:eastAsia="zh-CN"/>
        </w:rPr>
        <w:t xml:space="preserve"> </w:t>
      </w:r>
      <w:r w:rsidRPr="004B5E73">
        <w:rPr>
          <w:rFonts w:ascii="Arial" w:eastAsia="SimSun" w:hAnsi="Arial" w:cs="Arial"/>
          <w:i/>
          <w:sz w:val="18"/>
          <w:szCs w:val="18"/>
          <w:lang w:eastAsia="zh-CN"/>
        </w:rPr>
        <w:t>Reglamento de Elecciones del Instituto Nacional Electoral.</w:t>
      </w:r>
      <w:r w:rsidR="00010837" w:rsidRPr="004B5E73">
        <w:rPr>
          <w:rFonts w:ascii="Arial" w:eastAsia="SimSun" w:hAnsi="Arial" w:cs="Arial"/>
          <w:i/>
          <w:sz w:val="18"/>
          <w:szCs w:val="18"/>
          <w:lang w:eastAsia="zh-CN"/>
        </w:rPr>
        <w:t xml:space="preserve"> </w:t>
      </w:r>
    </w:p>
    <w:p w:rsidR="00DD076E" w:rsidRPr="004B5E73" w:rsidRDefault="00DD076E" w:rsidP="00BD139E">
      <w:pPr>
        <w:ind w:left="425" w:right="-284" w:hanging="709"/>
        <w:jc w:val="both"/>
        <w:rPr>
          <w:rFonts w:ascii="Arial" w:eastAsia="SimSun" w:hAnsi="Arial" w:cs="Arial"/>
          <w:i/>
          <w:sz w:val="18"/>
          <w:szCs w:val="18"/>
          <w:lang w:eastAsia="zh-CN"/>
        </w:rPr>
      </w:pPr>
      <w:r w:rsidRPr="004B5E73">
        <w:rPr>
          <w:rFonts w:ascii="Arial" w:hAnsi="Arial" w:cs="Arial"/>
          <w:b/>
          <w:sz w:val="18"/>
          <w:szCs w:val="18"/>
          <w:lang w:val="es-MX"/>
        </w:rPr>
        <w:t>REGLAMENTO:</w:t>
      </w:r>
      <w:r w:rsidRPr="004B5E73">
        <w:rPr>
          <w:rFonts w:ascii="Arial" w:hAnsi="Arial" w:cs="Arial"/>
          <w:sz w:val="18"/>
          <w:szCs w:val="18"/>
          <w:lang w:val="es-MX"/>
        </w:rPr>
        <w:t xml:space="preserve"> </w:t>
      </w:r>
      <w:r w:rsidRPr="004B5E73">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4E7883" w:rsidRPr="002867EB" w:rsidRDefault="004E7883"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r w:rsidR="00AE6CB9" w:rsidRPr="002867EB">
        <w:rPr>
          <w:rFonts w:ascii="Arial" w:hAnsi="Arial" w:cs="Arial"/>
          <w:i/>
          <w:sz w:val="22"/>
          <w:szCs w:val="22"/>
        </w:rPr>
        <w:t>LGIPE</w:t>
      </w:r>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1314CA" w:rsidRPr="002867EB" w:rsidRDefault="00DD076E" w:rsidP="00B55114">
      <w:pPr>
        <w:spacing w:line="276" w:lineRule="auto"/>
        <w:ind w:left="-284" w:right="-284"/>
        <w:jc w:val="both"/>
        <w:rPr>
          <w:rFonts w:ascii="Arial" w:eastAsia="Calibri" w:hAnsi="Arial" w:cs="Arial"/>
          <w:b/>
          <w:sz w:val="22"/>
          <w:szCs w:val="22"/>
          <w:lang w:val="es-MX" w:eastAsia="en-US"/>
        </w:rPr>
      </w:pPr>
      <w:r w:rsidRPr="002867EB">
        <w:rPr>
          <w:rFonts w:ascii="Arial" w:eastAsia="Calibri" w:hAnsi="Arial" w:cs="Arial"/>
          <w:b/>
          <w:sz w:val="22"/>
          <w:szCs w:val="22"/>
          <w:lang w:val="es-MX" w:eastAsia="en-US"/>
        </w:rPr>
        <w:t>I</w:t>
      </w:r>
      <w:r w:rsidR="00344AB9" w:rsidRPr="002867EB">
        <w:rPr>
          <w:rFonts w:ascii="Arial" w:eastAsia="Calibri" w:hAnsi="Arial" w:cs="Arial"/>
          <w:b/>
          <w:sz w:val="22"/>
          <w:szCs w:val="22"/>
          <w:lang w:val="es-MX" w:eastAsia="en-US"/>
        </w:rPr>
        <w:t>II</w:t>
      </w:r>
      <w:r w:rsidR="00285532"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El</w:t>
      </w:r>
      <w:r w:rsidR="001314CA" w:rsidRPr="002867EB">
        <w:rPr>
          <w:rFonts w:ascii="Arial" w:eastAsia="Calibri" w:hAnsi="Arial" w:cs="Arial"/>
          <w:b/>
          <w:sz w:val="22"/>
          <w:szCs w:val="22"/>
          <w:lang w:val="es-MX" w:eastAsia="en-US"/>
        </w:rPr>
        <w:t xml:space="preserve"> </w:t>
      </w:r>
      <w:r w:rsidR="001314CA" w:rsidRPr="002867EB">
        <w:rPr>
          <w:rFonts w:ascii="Arial" w:eastAsia="Calibri" w:hAnsi="Arial" w:cs="Arial"/>
          <w:sz w:val="22"/>
          <w:szCs w:val="22"/>
          <w:lang w:val="es-MX" w:eastAsia="en-US"/>
        </w:rPr>
        <w:t>veintiocho de septiembre del año dos mil dieciséis, el Consejo General del INE aprobó el Acuerdo INE/CG693/2016, por el cual aprobó la demarcación territorial de los distritos electorales uninominales locales para el estado de Yucatán, mismo que fuera ratificado a través del Acuerdo INE/CG</w:t>
      </w:r>
      <w:r w:rsidR="003844A0" w:rsidRPr="002867EB">
        <w:rPr>
          <w:rFonts w:ascii="Arial" w:eastAsia="Calibri" w:hAnsi="Arial" w:cs="Arial"/>
          <w:sz w:val="22"/>
          <w:szCs w:val="22"/>
          <w:lang w:val="es-MX" w:eastAsia="en-US"/>
        </w:rPr>
        <w:t>379/</w:t>
      </w:r>
      <w:r w:rsidR="001314CA" w:rsidRPr="002867EB">
        <w:rPr>
          <w:rFonts w:ascii="Arial" w:eastAsia="Calibri" w:hAnsi="Arial" w:cs="Arial"/>
          <w:sz w:val="22"/>
          <w:szCs w:val="22"/>
          <w:lang w:val="es-MX" w:eastAsia="en-US"/>
        </w:rPr>
        <w:t xml:space="preserve">2017 de fecha veintiocho de agosto del año </w:t>
      </w:r>
      <w:r w:rsidR="00BD139E" w:rsidRPr="002867EB">
        <w:rPr>
          <w:rFonts w:ascii="Arial" w:eastAsia="Calibri" w:hAnsi="Arial" w:cs="Arial"/>
          <w:sz w:val="22"/>
          <w:szCs w:val="22"/>
          <w:lang w:val="es-MX" w:eastAsia="en-US"/>
        </w:rPr>
        <w:t>dos mil diecisiete</w:t>
      </w:r>
      <w:r w:rsidR="001314CA" w:rsidRPr="002867EB">
        <w:rPr>
          <w:rFonts w:ascii="Arial" w:eastAsia="Calibri" w:hAnsi="Arial" w:cs="Arial"/>
          <w:sz w:val="22"/>
          <w:szCs w:val="22"/>
          <w:lang w:val="es-MX" w:eastAsia="en-US"/>
        </w:rPr>
        <w:t xml:space="preserve">, </w:t>
      </w:r>
      <w:r w:rsidR="001314CA" w:rsidRPr="002867EB">
        <w:rPr>
          <w:rFonts w:ascii="Arial" w:eastAsia="Calibri" w:hAnsi="Arial" w:cs="Arial"/>
          <w:sz w:val="22"/>
          <w:szCs w:val="22"/>
          <w:lang w:eastAsia="en-US"/>
        </w:rPr>
        <w:t>por el que se aprobó el marco geográfico electoral que se utilizará en los Procesos Electorales Federal y Locales 2017-2018.</w:t>
      </w:r>
    </w:p>
    <w:p w:rsidR="00285532" w:rsidRPr="002867EB" w:rsidRDefault="00285532" w:rsidP="00B55114">
      <w:pPr>
        <w:spacing w:line="276" w:lineRule="auto"/>
        <w:ind w:left="-284" w:right="-284"/>
        <w:jc w:val="both"/>
        <w:rPr>
          <w:rFonts w:ascii="Arial" w:hAnsi="Arial" w:cs="Arial"/>
          <w:sz w:val="22"/>
          <w:szCs w:val="22"/>
        </w:rPr>
      </w:pPr>
    </w:p>
    <w:p w:rsidR="00B02014" w:rsidRDefault="00344AB9" w:rsidP="00B55114">
      <w:pPr>
        <w:spacing w:line="276" w:lineRule="auto"/>
        <w:ind w:left="-284" w:right="-284"/>
        <w:jc w:val="both"/>
        <w:rPr>
          <w:rFonts w:ascii="Arial" w:eastAsia="SimSun" w:hAnsi="Arial" w:cs="Arial"/>
          <w:sz w:val="22"/>
          <w:szCs w:val="22"/>
          <w:lang w:eastAsia="zh-CN"/>
        </w:rPr>
      </w:pPr>
      <w:r w:rsidRPr="002867EB">
        <w:rPr>
          <w:rFonts w:ascii="Arial" w:eastAsia="SimSun" w:hAnsi="Arial" w:cs="Arial"/>
          <w:b/>
          <w:sz w:val="22"/>
          <w:szCs w:val="22"/>
          <w:lang w:eastAsia="zh-CN"/>
        </w:rPr>
        <w:t>IV</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r w:rsidR="00B02014" w:rsidRPr="002867EB">
        <w:rPr>
          <w:rFonts w:ascii="Arial" w:eastAsia="SimSun" w:hAnsi="Arial" w:cs="Arial"/>
          <w:i/>
          <w:sz w:val="22"/>
          <w:szCs w:val="22"/>
          <w:lang w:eastAsia="zh-CN"/>
        </w:rPr>
        <w:t>LIPEEY</w:t>
      </w:r>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6A68FD" w:rsidRDefault="006A68FD" w:rsidP="00B55114">
      <w:pPr>
        <w:spacing w:line="276" w:lineRule="auto"/>
        <w:ind w:left="-284" w:right="-284"/>
        <w:jc w:val="both"/>
        <w:rPr>
          <w:rFonts w:ascii="Arial" w:eastAsia="SimSun" w:hAnsi="Arial" w:cs="Arial"/>
          <w:sz w:val="22"/>
          <w:szCs w:val="22"/>
          <w:lang w:eastAsia="zh-CN"/>
        </w:rPr>
      </w:pPr>
    </w:p>
    <w:p w:rsidR="006A68FD" w:rsidRDefault="009E37BC" w:rsidP="00B55114">
      <w:pPr>
        <w:spacing w:line="276" w:lineRule="auto"/>
        <w:ind w:left="-284" w:right="-284"/>
        <w:jc w:val="both"/>
        <w:rPr>
          <w:rFonts w:ascii="Arial" w:eastAsia="SimSun" w:hAnsi="Arial" w:cs="Arial"/>
          <w:sz w:val="22"/>
          <w:szCs w:val="22"/>
          <w:lang w:eastAsia="zh-CN"/>
        </w:rPr>
      </w:pPr>
      <w:r w:rsidRPr="009E37BC">
        <w:rPr>
          <w:rFonts w:ascii="Arial" w:eastAsia="SimSun" w:hAnsi="Arial" w:cs="Arial"/>
          <w:b/>
          <w:sz w:val="22"/>
          <w:szCs w:val="22"/>
          <w:lang w:eastAsia="zh-CN"/>
        </w:rPr>
        <w:t>V.</w:t>
      </w:r>
      <w:r>
        <w:rPr>
          <w:rFonts w:ascii="Arial" w:eastAsia="SimSun" w:hAnsi="Arial" w:cs="Arial"/>
          <w:sz w:val="22"/>
          <w:szCs w:val="22"/>
          <w:lang w:eastAsia="zh-CN"/>
        </w:rPr>
        <w:t xml:space="preserve"> </w:t>
      </w:r>
      <w:r w:rsidR="00E36CF5" w:rsidRPr="00E36CF5">
        <w:rPr>
          <w:rFonts w:ascii="Arial" w:eastAsia="SimSun" w:hAnsi="Arial" w:cs="Arial"/>
          <w:sz w:val="22"/>
          <w:szCs w:val="22"/>
          <w:lang w:eastAsia="zh-CN"/>
        </w:rPr>
        <w:t>El seis de septiembre del año dos mil diecisiete, el Consejo General de este Instituto celebró la sesión de Declaración de inicio del Proceso Electoral Ordinario 2017-2018, para elegir al Gobernador del Estado, Diputados y Regidores.</w:t>
      </w:r>
    </w:p>
    <w:p w:rsidR="009E37BC" w:rsidRDefault="009E37BC" w:rsidP="00B55114">
      <w:pPr>
        <w:spacing w:line="276" w:lineRule="auto"/>
        <w:ind w:left="-284" w:right="-284"/>
        <w:jc w:val="both"/>
        <w:rPr>
          <w:rFonts w:ascii="Arial" w:eastAsia="SimSun" w:hAnsi="Arial" w:cs="Arial"/>
          <w:sz w:val="22"/>
          <w:szCs w:val="22"/>
          <w:lang w:eastAsia="zh-CN"/>
        </w:rPr>
      </w:pPr>
    </w:p>
    <w:p w:rsidR="009E37BC" w:rsidRDefault="009E37BC" w:rsidP="00B55114">
      <w:pPr>
        <w:spacing w:line="276" w:lineRule="auto"/>
        <w:ind w:left="-284" w:right="-284"/>
        <w:jc w:val="both"/>
        <w:rPr>
          <w:rFonts w:ascii="Arial" w:eastAsia="SimSun" w:hAnsi="Arial" w:cs="Arial"/>
          <w:bCs/>
          <w:sz w:val="22"/>
          <w:szCs w:val="22"/>
          <w:lang w:eastAsia="zh-CN"/>
        </w:rPr>
      </w:pPr>
      <w:r w:rsidRPr="009E37BC">
        <w:rPr>
          <w:rFonts w:ascii="Arial" w:eastAsia="SimSun" w:hAnsi="Arial" w:cs="Arial"/>
          <w:b/>
          <w:sz w:val="22"/>
          <w:szCs w:val="22"/>
          <w:lang w:eastAsia="zh-CN"/>
        </w:rPr>
        <w:lastRenderedPageBreak/>
        <w:t>VI.</w:t>
      </w:r>
      <w:r>
        <w:rPr>
          <w:rFonts w:ascii="Arial" w:eastAsia="SimSun" w:hAnsi="Arial" w:cs="Arial"/>
          <w:sz w:val="22"/>
          <w:szCs w:val="22"/>
          <w:lang w:eastAsia="zh-CN"/>
        </w:rPr>
        <w:t xml:space="preserve"> </w:t>
      </w:r>
      <w:r w:rsidR="00E36CF5" w:rsidRPr="00E36CF5">
        <w:rPr>
          <w:rFonts w:ascii="Arial" w:eastAsia="SimSun" w:hAnsi="Arial" w:cs="Arial"/>
          <w:bCs/>
          <w:sz w:val="22"/>
          <w:szCs w:val="22"/>
          <w:lang w:val="es-MX" w:eastAsia="zh-CN"/>
        </w:rPr>
        <w:t xml:space="preserve">El catorce de febrero del año dos mil dieciocho fue publicado en el Diario Oficial del Gobierno del Estado, el Decreto 589/2018 por el </w:t>
      </w:r>
      <w:r w:rsidR="00E36CF5" w:rsidRPr="00E36CF5">
        <w:rPr>
          <w:rFonts w:ascii="Arial" w:eastAsia="SimSun" w:hAnsi="Arial" w:cs="Arial"/>
          <w:bCs/>
          <w:sz w:val="22"/>
          <w:szCs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E36CF5" w:rsidRDefault="00E36CF5" w:rsidP="00B55114">
      <w:pPr>
        <w:spacing w:line="276" w:lineRule="auto"/>
        <w:ind w:left="-284" w:right="-284"/>
        <w:jc w:val="both"/>
        <w:rPr>
          <w:rFonts w:ascii="Arial" w:eastAsia="SimSun" w:hAnsi="Arial" w:cs="Arial"/>
          <w:sz w:val="22"/>
          <w:szCs w:val="22"/>
          <w:lang w:eastAsia="zh-CN"/>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w:t>
      </w:r>
      <w:r w:rsidR="006A68FD" w:rsidRPr="008C5C12">
        <w:rPr>
          <w:rFonts w:ascii="Arial" w:hAnsi="Arial" w:cs="Arial"/>
          <w:b/>
          <w:sz w:val="22"/>
          <w:szCs w:val="22"/>
        </w:rPr>
        <w:t>C.G.-014/2017</w:t>
      </w:r>
      <w:r w:rsidR="006A68FD" w:rsidRPr="002867EB">
        <w:rPr>
          <w:rFonts w:ascii="Arial" w:hAnsi="Arial" w:cs="Arial"/>
          <w:sz w:val="22"/>
          <w:szCs w:val="22"/>
        </w:rPr>
        <w:t xml:space="preserve">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encuentran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36CF5" w:rsidTr="00225112">
        <w:trPr>
          <w:jc w:val="center"/>
        </w:trPr>
        <w:tc>
          <w:tcPr>
            <w:tcW w:w="1839"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NO. DE ACUERDO</w:t>
            </w:r>
          </w:p>
        </w:tc>
        <w:tc>
          <w:tcPr>
            <w:tcW w:w="2465" w:type="dxa"/>
            <w:shd w:val="clear" w:color="auto" w:fill="D9D9D9" w:themeFill="background1" w:themeFillShade="D9"/>
            <w:vAlign w:val="center"/>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DISTRITO/MUNICIPIO</w:t>
            </w:r>
          </w:p>
        </w:tc>
        <w:tc>
          <w:tcPr>
            <w:tcW w:w="2409" w:type="dxa"/>
            <w:shd w:val="clear" w:color="auto" w:fill="D9D9D9" w:themeFill="background1" w:themeFillShade="D9"/>
          </w:tcPr>
          <w:p w:rsidR="006A68FD" w:rsidRPr="00E36CF5" w:rsidRDefault="006A68FD" w:rsidP="00225112">
            <w:pPr>
              <w:spacing w:line="276" w:lineRule="auto"/>
              <w:jc w:val="center"/>
              <w:rPr>
                <w:rFonts w:ascii="Arial" w:hAnsi="Arial" w:cs="Arial"/>
                <w:b/>
                <w:sz w:val="18"/>
                <w:szCs w:val="18"/>
              </w:rPr>
            </w:pPr>
            <w:r w:rsidRPr="00E36CF5">
              <w:rPr>
                <w:rFonts w:ascii="Arial" w:hAnsi="Arial" w:cs="Arial"/>
                <w:b/>
                <w:sz w:val="18"/>
                <w:szCs w:val="18"/>
              </w:rPr>
              <w:t>FECHA</w:t>
            </w:r>
          </w:p>
        </w:tc>
      </w:tr>
      <w:tr w:rsidR="006A68FD" w:rsidRPr="00E36CF5" w:rsidTr="00225112">
        <w:trPr>
          <w:jc w:val="center"/>
        </w:trPr>
        <w:tc>
          <w:tcPr>
            <w:tcW w:w="1839" w:type="dxa"/>
            <w:vAlign w:val="center"/>
          </w:tcPr>
          <w:p w:rsidR="006A68FD" w:rsidRPr="00E36CF5" w:rsidRDefault="006A68FD" w:rsidP="005B6567">
            <w:pPr>
              <w:spacing w:line="276" w:lineRule="auto"/>
              <w:jc w:val="center"/>
              <w:rPr>
                <w:rFonts w:ascii="Arial" w:hAnsi="Arial" w:cs="Arial"/>
                <w:sz w:val="18"/>
                <w:szCs w:val="18"/>
              </w:rPr>
            </w:pPr>
            <w:r w:rsidRPr="00E36CF5">
              <w:rPr>
                <w:rFonts w:ascii="Arial" w:hAnsi="Arial" w:cs="Arial"/>
                <w:sz w:val="18"/>
                <w:szCs w:val="18"/>
              </w:rPr>
              <w:t>C.G.-</w:t>
            </w:r>
            <w:r w:rsidR="008C5C12">
              <w:rPr>
                <w:rFonts w:ascii="Arial" w:hAnsi="Arial" w:cs="Arial"/>
                <w:sz w:val="18"/>
                <w:szCs w:val="18"/>
              </w:rPr>
              <w:t>1</w:t>
            </w:r>
            <w:r w:rsidR="005B6567">
              <w:rPr>
                <w:rFonts w:ascii="Arial" w:hAnsi="Arial" w:cs="Arial"/>
                <w:sz w:val="18"/>
                <w:szCs w:val="18"/>
              </w:rPr>
              <w:t>13</w:t>
            </w:r>
            <w:r w:rsidRPr="00E36CF5">
              <w:rPr>
                <w:rFonts w:ascii="Arial" w:hAnsi="Arial" w:cs="Arial"/>
                <w:sz w:val="18"/>
                <w:szCs w:val="18"/>
              </w:rPr>
              <w:t>/2017</w:t>
            </w:r>
          </w:p>
        </w:tc>
        <w:tc>
          <w:tcPr>
            <w:tcW w:w="2465" w:type="dxa"/>
            <w:vAlign w:val="center"/>
          </w:tcPr>
          <w:p w:rsidR="006A68FD" w:rsidRPr="00E36CF5" w:rsidRDefault="005B6567" w:rsidP="00225112">
            <w:pPr>
              <w:spacing w:line="276" w:lineRule="auto"/>
              <w:jc w:val="center"/>
              <w:rPr>
                <w:rFonts w:ascii="Arial" w:hAnsi="Arial" w:cs="Arial"/>
                <w:sz w:val="18"/>
                <w:szCs w:val="18"/>
              </w:rPr>
            </w:pPr>
            <w:proofErr w:type="spellStart"/>
            <w:r>
              <w:rPr>
                <w:rFonts w:ascii="Arial" w:hAnsi="Arial" w:cs="Arial"/>
                <w:sz w:val="18"/>
                <w:szCs w:val="18"/>
              </w:rPr>
              <w:t>Tekax</w:t>
            </w:r>
            <w:proofErr w:type="spellEnd"/>
          </w:p>
        </w:tc>
        <w:tc>
          <w:tcPr>
            <w:tcW w:w="2409" w:type="dxa"/>
            <w:vAlign w:val="center"/>
          </w:tcPr>
          <w:p w:rsidR="006A68FD" w:rsidRPr="00E36CF5" w:rsidRDefault="006A68FD" w:rsidP="00225112">
            <w:pPr>
              <w:spacing w:line="276" w:lineRule="auto"/>
              <w:jc w:val="center"/>
              <w:rPr>
                <w:rFonts w:ascii="Arial" w:hAnsi="Arial" w:cs="Arial"/>
                <w:sz w:val="18"/>
                <w:szCs w:val="18"/>
              </w:rPr>
            </w:pPr>
            <w:r w:rsidRPr="00E36CF5">
              <w:rPr>
                <w:rFonts w:ascii="Arial" w:hAnsi="Arial" w:cs="Arial"/>
                <w:sz w:val="18"/>
                <w:szCs w:val="18"/>
              </w:rPr>
              <w:t>20/SEP/17</w:t>
            </w:r>
          </w:p>
        </w:tc>
      </w:tr>
    </w:tbl>
    <w:p w:rsidR="009E37BC" w:rsidRDefault="009E37BC" w:rsidP="006A68FD">
      <w:pPr>
        <w:spacing w:line="276" w:lineRule="auto"/>
        <w:ind w:left="-284" w:right="-234"/>
        <w:jc w:val="both"/>
        <w:rPr>
          <w:rFonts w:ascii="Arial" w:hAnsi="Arial" w:cs="Arial"/>
          <w:sz w:val="22"/>
          <w:szCs w:val="22"/>
          <w:highlight w:val="yellow"/>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3477"/>
        <w:gridCol w:w="3044"/>
      </w:tblGrid>
      <w:tr w:rsidR="009E37BC" w:rsidRPr="00E05099" w:rsidTr="00E05099">
        <w:trPr>
          <w:trHeight w:val="765"/>
          <w:jc w:val="center"/>
        </w:trPr>
        <w:tc>
          <w:tcPr>
            <w:tcW w:w="2268" w:type="dxa"/>
            <w:shd w:val="clear" w:color="000000" w:fill="FF9900"/>
            <w:vAlign w:val="center"/>
            <w:hideMark/>
          </w:tcPr>
          <w:p w:rsidR="009E37BC" w:rsidRPr="00E05099" w:rsidRDefault="009E37BC" w:rsidP="00E05099">
            <w:pPr>
              <w:jc w:val="center"/>
              <w:rPr>
                <w:rFonts w:ascii="Arial Narrow" w:hAnsi="Arial Narrow" w:cs="Calibri"/>
                <w:b/>
                <w:bCs/>
                <w:color w:val="000000"/>
                <w:sz w:val="18"/>
                <w:szCs w:val="18"/>
              </w:rPr>
            </w:pPr>
            <w:r w:rsidRPr="00E05099">
              <w:rPr>
                <w:rFonts w:ascii="Arial Narrow" w:hAnsi="Arial Narrow" w:cs="Calibri"/>
                <w:b/>
                <w:bCs/>
                <w:color w:val="000000"/>
                <w:sz w:val="18"/>
                <w:szCs w:val="18"/>
              </w:rPr>
              <w:t>CONSEJO</w:t>
            </w:r>
            <w:r w:rsidR="00590337" w:rsidRPr="00E05099">
              <w:rPr>
                <w:rFonts w:ascii="Arial Narrow" w:hAnsi="Arial Narrow" w:cs="Calibri"/>
                <w:b/>
                <w:bCs/>
                <w:color w:val="000000"/>
                <w:sz w:val="18"/>
                <w:szCs w:val="18"/>
              </w:rPr>
              <w:t xml:space="preserve"> ELECTORAL</w:t>
            </w:r>
            <w:r w:rsidRPr="00E05099">
              <w:rPr>
                <w:rFonts w:ascii="Arial Narrow" w:hAnsi="Arial Narrow" w:cs="Calibri"/>
                <w:b/>
                <w:bCs/>
                <w:color w:val="000000"/>
                <w:sz w:val="18"/>
                <w:szCs w:val="18"/>
              </w:rPr>
              <w:t xml:space="preserve"> MUNICIPAL</w:t>
            </w:r>
          </w:p>
        </w:tc>
        <w:tc>
          <w:tcPr>
            <w:tcW w:w="3477" w:type="dxa"/>
            <w:shd w:val="clear" w:color="000000" w:fill="FF9900"/>
            <w:vAlign w:val="center"/>
            <w:hideMark/>
          </w:tcPr>
          <w:p w:rsidR="009E37BC" w:rsidRPr="00E05099" w:rsidRDefault="009E37BC">
            <w:pPr>
              <w:jc w:val="center"/>
              <w:rPr>
                <w:rFonts w:ascii="Arial Narrow" w:hAnsi="Arial Narrow" w:cs="Calibri"/>
                <w:b/>
                <w:bCs/>
                <w:color w:val="000000"/>
                <w:sz w:val="18"/>
                <w:szCs w:val="18"/>
              </w:rPr>
            </w:pPr>
            <w:r w:rsidRPr="00E05099">
              <w:rPr>
                <w:rFonts w:ascii="Arial Narrow" w:hAnsi="Arial Narrow" w:cs="Calibri"/>
                <w:b/>
                <w:bCs/>
                <w:color w:val="000000"/>
                <w:sz w:val="18"/>
                <w:szCs w:val="18"/>
              </w:rPr>
              <w:t>NOMBRE COMPLETO</w:t>
            </w:r>
          </w:p>
        </w:tc>
        <w:tc>
          <w:tcPr>
            <w:tcW w:w="3044" w:type="dxa"/>
            <w:shd w:val="clear" w:color="000000" w:fill="FF9900"/>
            <w:vAlign w:val="center"/>
          </w:tcPr>
          <w:p w:rsidR="009E37BC" w:rsidRPr="00E05099" w:rsidRDefault="009E37BC" w:rsidP="00ED44F5">
            <w:pPr>
              <w:jc w:val="center"/>
              <w:rPr>
                <w:rFonts w:ascii="Arial Narrow" w:hAnsi="Arial Narrow" w:cs="Calibri"/>
                <w:b/>
                <w:bCs/>
                <w:color w:val="000000"/>
                <w:sz w:val="18"/>
                <w:szCs w:val="18"/>
              </w:rPr>
            </w:pPr>
            <w:r w:rsidRPr="00E05099">
              <w:rPr>
                <w:rFonts w:ascii="Arial Narrow" w:hAnsi="Arial Narrow" w:cs="Calibri"/>
                <w:b/>
                <w:bCs/>
                <w:color w:val="000000"/>
                <w:sz w:val="18"/>
                <w:szCs w:val="18"/>
              </w:rPr>
              <w:t>CARGO</w:t>
            </w:r>
          </w:p>
        </w:tc>
      </w:tr>
      <w:tr w:rsidR="00E05099" w:rsidRPr="00E05099" w:rsidTr="00E05099">
        <w:trPr>
          <w:trHeight w:val="546"/>
          <w:jc w:val="center"/>
        </w:trPr>
        <w:tc>
          <w:tcPr>
            <w:tcW w:w="226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E05099" w:rsidRPr="00E05099" w:rsidRDefault="00E05099" w:rsidP="00E05099">
            <w:pPr>
              <w:jc w:val="center"/>
              <w:rPr>
                <w:rFonts w:ascii="Arial Narrow" w:hAnsi="Arial Narrow" w:cs="Calibri"/>
                <w:color w:val="000000"/>
                <w:sz w:val="18"/>
                <w:szCs w:val="18"/>
                <w:lang w:val="es-MX" w:eastAsia="es-MX"/>
              </w:rPr>
            </w:pPr>
            <w:r w:rsidRPr="00E05099">
              <w:rPr>
                <w:rFonts w:ascii="Arial Narrow" w:hAnsi="Arial Narrow" w:cs="Calibri"/>
                <w:color w:val="000000"/>
                <w:sz w:val="18"/>
                <w:szCs w:val="18"/>
              </w:rPr>
              <w:t xml:space="preserve">CONSEJERO (A) ELECTORAL </w:t>
            </w:r>
          </w:p>
        </w:tc>
        <w:tc>
          <w:tcPr>
            <w:tcW w:w="3477" w:type="dxa"/>
            <w:tcBorders>
              <w:top w:val="single" w:sz="4" w:space="0" w:color="auto"/>
              <w:left w:val="nil"/>
              <w:bottom w:val="single" w:sz="4" w:space="0" w:color="auto"/>
              <w:right w:val="single" w:sz="4" w:space="0" w:color="auto"/>
            </w:tcBorders>
            <w:shd w:val="clear" w:color="000000" w:fill="FF0000"/>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LARA BUENFIL DELMY ARACELY</w:t>
            </w:r>
          </w:p>
        </w:tc>
        <w:tc>
          <w:tcPr>
            <w:tcW w:w="3044" w:type="dxa"/>
            <w:tcBorders>
              <w:top w:val="single" w:sz="4" w:space="0" w:color="auto"/>
              <w:left w:val="nil"/>
              <w:bottom w:val="single" w:sz="4" w:space="0" w:color="auto"/>
              <w:right w:val="single" w:sz="4" w:space="0" w:color="auto"/>
            </w:tcBorders>
            <w:shd w:val="clear" w:color="000000" w:fill="FF0000"/>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MUJER</w:t>
            </w:r>
          </w:p>
        </w:tc>
      </w:tr>
      <w:tr w:rsidR="00E05099" w:rsidRPr="00E05099" w:rsidTr="00E05099">
        <w:trPr>
          <w:trHeight w:val="486"/>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 xml:space="preserve">CONSEJERO (A) ELECTORAL </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TUN HORAN NOE DANIEL</w:t>
            </w:r>
          </w:p>
        </w:tc>
        <w:tc>
          <w:tcPr>
            <w:tcW w:w="3044"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HOMBRE</w:t>
            </w:r>
          </w:p>
        </w:tc>
      </w:tr>
      <w:tr w:rsidR="00E05099" w:rsidRPr="00E05099" w:rsidTr="00E05099">
        <w:trPr>
          <w:trHeight w:val="568"/>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 xml:space="preserve">CONSEJERO (A) ELECTORAL </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 xml:space="preserve">ROMERO </w:t>
            </w:r>
            <w:proofErr w:type="spellStart"/>
            <w:r w:rsidRPr="00E05099">
              <w:rPr>
                <w:rFonts w:ascii="Arial Narrow" w:hAnsi="Arial Narrow" w:cs="Calibri"/>
                <w:color w:val="000000"/>
                <w:sz w:val="18"/>
                <w:szCs w:val="18"/>
              </w:rPr>
              <w:t>ROMERO</w:t>
            </w:r>
            <w:proofErr w:type="spellEnd"/>
            <w:r w:rsidRPr="00E05099">
              <w:rPr>
                <w:rFonts w:ascii="Arial Narrow" w:hAnsi="Arial Narrow" w:cs="Calibri"/>
                <w:color w:val="000000"/>
                <w:sz w:val="18"/>
                <w:szCs w:val="18"/>
              </w:rPr>
              <w:t xml:space="preserve"> NELLY AURORA</w:t>
            </w:r>
          </w:p>
        </w:tc>
        <w:tc>
          <w:tcPr>
            <w:tcW w:w="3044"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MUJER</w:t>
            </w:r>
          </w:p>
        </w:tc>
      </w:tr>
      <w:tr w:rsidR="00E05099" w:rsidRPr="00E05099" w:rsidTr="00E05099">
        <w:trPr>
          <w:trHeight w:val="494"/>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SECRETARIO (A) EJECUTIVO</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VAZQUEZ TORRES LUIS MANUEL</w:t>
            </w:r>
          </w:p>
        </w:tc>
        <w:tc>
          <w:tcPr>
            <w:tcW w:w="3044"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HOMBRE</w:t>
            </w:r>
          </w:p>
        </w:tc>
      </w:tr>
      <w:tr w:rsidR="00E05099" w:rsidRPr="00E05099" w:rsidTr="00E05099">
        <w:trPr>
          <w:trHeight w:val="421"/>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SUPLENTE</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CAAMAL MAY DULCE CRISTINA</w:t>
            </w:r>
          </w:p>
        </w:tc>
        <w:tc>
          <w:tcPr>
            <w:tcW w:w="3044"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MUJER</w:t>
            </w:r>
          </w:p>
        </w:tc>
      </w:tr>
      <w:tr w:rsidR="00E05099" w:rsidRPr="00E05099" w:rsidTr="00E05099">
        <w:trPr>
          <w:trHeight w:val="426"/>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SUPLENTE</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MAAS AVILA WILFRIDO</w:t>
            </w:r>
          </w:p>
        </w:tc>
        <w:tc>
          <w:tcPr>
            <w:tcW w:w="3044"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HOMBRE</w:t>
            </w:r>
          </w:p>
        </w:tc>
      </w:tr>
      <w:tr w:rsidR="00E05099" w:rsidRPr="00E05099" w:rsidTr="00E05099">
        <w:trPr>
          <w:trHeight w:val="306"/>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SUPLENTE</w:t>
            </w:r>
          </w:p>
        </w:tc>
        <w:tc>
          <w:tcPr>
            <w:tcW w:w="3477"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ROCHA LOEZA REINA GUADALUPE</w:t>
            </w:r>
          </w:p>
        </w:tc>
        <w:tc>
          <w:tcPr>
            <w:tcW w:w="3044"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8"/>
                <w:szCs w:val="18"/>
              </w:rPr>
            </w:pPr>
            <w:r w:rsidRPr="00E05099">
              <w:rPr>
                <w:rFonts w:ascii="Arial Narrow" w:hAnsi="Arial Narrow" w:cs="Calibri"/>
                <w:color w:val="000000"/>
                <w:sz w:val="18"/>
                <w:szCs w:val="18"/>
              </w:rPr>
              <w:t>MUJER</w:t>
            </w:r>
          </w:p>
        </w:tc>
      </w:tr>
    </w:tbl>
    <w:p w:rsidR="009E37BC" w:rsidRDefault="009E37BC" w:rsidP="006A68FD">
      <w:pPr>
        <w:spacing w:line="276" w:lineRule="auto"/>
        <w:ind w:left="-284" w:right="-234"/>
        <w:jc w:val="both"/>
        <w:rPr>
          <w:rFonts w:ascii="Arial" w:hAnsi="Arial" w:cs="Arial"/>
          <w:sz w:val="22"/>
          <w:szCs w:val="22"/>
          <w:highlight w:val="yellow"/>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4B5E73" w:rsidRDefault="004B5E73" w:rsidP="00B55114">
      <w:pPr>
        <w:spacing w:line="276" w:lineRule="auto"/>
        <w:ind w:left="-360" w:right="-284"/>
        <w:jc w:val="center"/>
        <w:rPr>
          <w:rFonts w:ascii="Arial" w:hAnsi="Arial" w:cs="Arial"/>
          <w:b/>
          <w:sz w:val="22"/>
          <w:szCs w:val="22"/>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4E7883" w:rsidRPr="002867EB" w:rsidRDefault="004E7883"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r w:rsidR="00D16537" w:rsidRPr="002867EB">
        <w:rPr>
          <w:rFonts w:ascii="Arial" w:hAnsi="Arial" w:cs="Arial"/>
          <w:i/>
          <w:sz w:val="22"/>
          <w:szCs w:val="22"/>
        </w:rPr>
        <w:t>CPEUM</w:t>
      </w:r>
      <w:r w:rsidR="008D478C" w:rsidRPr="002867EB">
        <w:rPr>
          <w:rFonts w:ascii="Arial" w:hAnsi="Arial" w:cs="Arial"/>
          <w:sz w:val="22"/>
          <w:szCs w:val="22"/>
        </w:rPr>
        <w:t xml:space="preserve">, queda prohibida toda discriminación motivada por origen étnico o nacional, el género, la edad, las discapacidades, la condición social, las condiciones de salud, la religión, las opiniones, las preferencias sexuales, el </w:t>
      </w:r>
      <w:r w:rsidR="008D478C" w:rsidRPr="002867EB">
        <w:rPr>
          <w:rFonts w:ascii="Arial" w:hAnsi="Arial" w:cs="Arial"/>
          <w:sz w:val="22"/>
          <w:szCs w:val="22"/>
        </w:rPr>
        <w:lastRenderedPageBreak/>
        <w:t>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r w:rsidR="00D16537" w:rsidRPr="002867EB">
        <w:rPr>
          <w:rFonts w:ascii="Arial" w:hAnsi="Arial" w:cs="Arial"/>
          <w:i/>
          <w:sz w:val="22"/>
          <w:szCs w:val="22"/>
        </w:rPr>
        <w:t>CPEUM</w:t>
      </w:r>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Pr="002867EB">
        <w:rPr>
          <w:rFonts w:ascii="Arial" w:eastAsia="SimSun" w:hAnsi="Arial" w:cs="Arial"/>
          <w:sz w:val="22"/>
          <w:szCs w:val="22"/>
          <w:lang w:eastAsia="zh-CN"/>
        </w:rPr>
        <w:t xml:space="preserve">El primer párrafo, de la Base V del artículo 41 de la </w:t>
      </w:r>
      <w:r w:rsidRPr="002867EB">
        <w:rPr>
          <w:rFonts w:ascii="Arial" w:eastAsia="SimSun" w:hAnsi="Arial" w:cs="Arial"/>
          <w:i/>
          <w:sz w:val="22"/>
          <w:szCs w:val="22"/>
          <w:lang w:eastAsia="zh-CN"/>
        </w:rPr>
        <w:t>CPEUM</w:t>
      </w:r>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r w:rsidR="00021EE7" w:rsidRPr="002867EB">
        <w:rPr>
          <w:rFonts w:ascii="Arial" w:hAnsi="Arial" w:cs="Arial"/>
          <w:i/>
          <w:sz w:val="22"/>
          <w:szCs w:val="22"/>
        </w:rPr>
        <w:t>CPEUM</w:t>
      </w:r>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r w:rsidRPr="002867EB">
        <w:rPr>
          <w:rFonts w:ascii="Arial" w:eastAsia="SimSun" w:hAnsi="Arial" w:cs="Arial"/>
          <w:i/>
          <w:sz w:val="22"/>
          <w:szCs w:val="22"/>
          <w:lang w:eastAsia="zh-CN"/>
        </w:rPr>
        <w:t>CPEUM</w:t>
      </w:r>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8B5FB8" w:rsidP="00B55114">
      <w:pPr>
        <w:autoSpaceDE w:val="0"/>
        <w:autoSpaceDN w:val="0"/>
        <w:adjustRightInd w:val="0"/>
        <w:spacing w:line="276" w:lineRule="auto"/>
        <w:ind w:left="-284" w:right="-285"/>
        <w:jc w:val="both"/>
        <w:rPr>
          <w:rFonts w:ascii="Arial" w:hAnsi="Arial" w:cs="Arial"/>
          <w:b/>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r w:rsidR="00D16537" w:rsidRPr="002867EB">
        <w:rPr>
          <w:rFonts w:ascii="Arial" w:hAnsi="Arial" w:cs="Arial"/>
          <w:i/>
          <w:sz w:val="22"/>
          <w:szCs w:val="22"/>
        </w:rPr>
        <w:t>CPEUM</w:t>
      </w:r>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8B5FB8" w:rsidRPr="00E36CF5" w:rsidRDefault="007442DA"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41</w:t>
      </w:r>
      <w:r w:rsidR="008B5FB8" w:rsidRPr="00E36CF5">
        <w:rPr>
          <w:rFonts w:ascii="Arial" w:hAnsi="Arial" w:cs="Arial"/>
          <w:i/>
          <w:sz w:val="20"/>
          <w:szCs w:val="20"/>
        </w:rPr>
        <w:t>.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 xml:space="preserve"> </w:t>
      </w: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La renovación de los poderes Legislativo y Ejecutivo se realizará mediante elecciones libres, auténticas y periódicas</w:t>
      </w:r>
      <w:r w:rsidR="00B331F5" w:rsidRPr="00E36CF5">
        <w:rPr>
          <w:rFonts w:ascii="Arial" w:hAnsi="Arial" w:cs="Arial"/>
          <w:i/>
          <w:sz w:val="20"/>
          <w:szCs w:val="20"/>
        </w:rPr>
        <w:t>,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B331F5" w:rsidP="00B55114">
      <w:pPr>
        <w:autoSpaceDE w:val="0"/>
        <w:autoSpaceDN w:val="0"/>
        <w:adjustRightInd w:val="0"/>
        <w:ind w:left="-284" w:right="-285"/>
        <w:jc w:val="both"/>
        <w:rPr>
          <w:rFonts w:ascii="Arial" w:hAnsi="Arial" w:cs="Arial"/>
          <w:i/>
          <w:sz w:val="20"/>
          <w:szCs w:val="20"/>
        </w:rPr>
      </w:pPr>
      <w:r w:rsidRPr="00E36CF5">
        <w:rPr>
          <w:rFonts w:ascii="Arial" w:hAnsi="Arial" w:cs="Arial"/>
          <w:b/>
          <w:i/>
          <w:sz w:val="20"/>
          <w:szCs w:val="20"/>
        </w:rPr>
        <w:t>“…</w:t>
      </w:r>
      <w:r w:rsidR="008B5FB8" w:rsidRPr="00E36CF5">
        <w:rPr>
          <w:rFonts w:ascii="Arial" w:hAnsi="Arial" w:cs="Arial"/>
          <w:b/>
          <w:i/>
          <w:sz w:val="20"/>
          <w:szCs w:val="20"/>
        </w:rPr>
        <w:t>Artículo 115</w:t>
      </w:r>
      <w:r w:rsidR="008B5FB8" w:rsidRPr="00E36CF5">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36CF5" w:rsidRDefault="00B331F5" w:rsidP="00B55114">
      <w:pPr>
        <w:autoSpaceDE w:val="0"/>
        <w:autoSpaceDN w:val="0"/>
        <w:adjustRightInd w:val="0"/>
        <w:ind w:left="-284" w:right="-285"/>
        <w:jc w:val="both"/>
        <w:rPr>
          <w:rFonts w:ascii="Arial" w:hAnsi="Arial" w:cs="Arial"/>
          <w:i/>
          <w:sz w:val="20"/>
          <w:szCs w:val="20"/>
        </w:rPr>
      </w:pPr>
    </w:p>
    <w:p w:rsidR="008B5FB8" w:rsidRPr="00E36CF5" w:rsidRDefault="008B5FB8" w:rsidP="00B55114">
      <w:pPr>
        <w:autoSpaceDE w:val="0"/>
        <w:autoSpaceDN w:val="0"/>
        <w:adjustRightInd w:val="0"/>
        <w:ind w:left="-284" w:right="-285"/>
        <w:jc w:val="both"/>
        <w:rPr>
          <w:rFonts w:ascii="Arial" w:hAnsi="Arial" w:cs="Arial"/>
          <w:i/>
          <w:sz w:val="20"/>
          <w:szCs w:val="20"/>
        </w:rPr>
      </w:pPr>
      <w:r w:rsidRPr="00E36CF5">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36CF5">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r w:rsidR="00D16537" w:rsidRPr="002867EB">
        <w:rPr>
          <w:rFonts w:ascii="Arial" w:hAnsi="Arial" w:cs="Arial"/>
          <w:i/>
          <w:sz w:val="22"/>
          <w:szCs w:val="22"/>
        </w:rPr>
        <w:t>CPEUM</w:t>
      </w:r>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E36CF5" w:rsidRDefault="00C45D74" w:rsidP="00B55114">
      <w:pPr>
        <w:ind w:left="720" w:right="-285" w:hanging="431"/>
        <w:jc w:val="both"/>
        <w:rPr>
          <w:rFonts w:ascii="Arial" w:hAnsi="Arial" w:cs="Arial"/>
          <w:i/>
          <w:sz w:val="20"/>
          <w:szCs w:val="20"/>
          <w:lang w:val="es-MX"/>
        </w:rPr>
      </w:pPr>
    </w:p>
    <w:p w:rsidR="00C45D74" w:rsidRPr="00E36CF5" w:rsidRDefault="007442DA" w:rsidP="00B55114">
      <w:pPr>
        <w:ind w:left="720" w:right="-285" w:hanging="431"/>
        <w:jc w:val="both"/>
        <w:rPr>
          <w:rFonts w:ascii="Arial" w:hAnsi="Arial" w:cs="Arial"/>
          <w:bCs/>
          <w:i/>
          <w:sz w:val="20"/>
          <w:szCs w:val="20"/>
          <w:lang w:val="es-MX"/>
        </w:rPr>
      </w:pPr>
      <w:r w:rsidRPr="00E36CF5">
        <w:rPr>
          <w:rFonts w:ascii="Arial" w:hAnsi="Arial" w:cs="Arial"/>
          <w:b/>
          <w:bCs/>
          <w:i/>
          <w:sz w:val="20"/>
          <w:szCs w:val="20"/>
          <w:lang w:val="es-MX"/>
        </w:rPr>
        <w:t>“</w:t>
      </w:r>
      <w:r w:rsidR="00C45D74" w:rsidRPr="00E36CF5">
        <w:rPr>
          <w:rFonts w:ascii="Arial" w:hAnsi="Arial" w:cs="Arial"/>
          <w:b/>
          <w:bCs/>
          <w:i/>
          <w:sz w:val="20"/>
          <w:szCs w:val="20"/>
          <w:lang w:val="es-MX"/>
        </w:rPr>
        <w:t xml:space="preserve">IV. </w:t>
      </w:r>
      <w:r w:rsidR="00C45D74" w:rsidRPr="00E36CF5">
        <w:rPr>
          <w:rFonts w:ascii="Arial" w:hAnsi="Arial" w:cs="Arial"/>
          <w:b/>
          <w:bCs/>
          <w:i/>
          <w:sz w:val="20"/>
          <w:szCs w:val="20"/>
          <w:lang w:val="es-MX"/>
        </w:rPr>
        <w:tab/>
      </w:r>
      <w:r w:rsidR="00C45D74" w:rsidRPr="00E36CF5">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36CF5" w:rsidRDefault="00C45D74" w:rsidP="00B55114">
      <w:pPr>
        <w:ind w:left="1151" w:right="-285" w:hanging="431"/>
        <w:jc w:val="both"/>
        <w:rPr>
          <w:rFonts w:ascii="Arial" w:hAnsi="Arial" w:cs="Arial"/>
          <w:b/>
          <w:bCs/>
          <w:i/>
          <w:sz w:val="20"/>
          <w:szCs w:val="20"/>
          <w:lang w:val="es-MX"/>
        </w:rPr>
      </w:pPr>
      <w:r w:rsidRPr="00E36CF5">
        <w:rPr>
          <w:rFonts w:ascii="Arial" w:hAnsi="Arial" w:cs="Arial"/>
          <w:b/>
          <w:bCs/>
          <w:i/>
          <w:sz w:val="20"/>
          <w:szCs w:val="20"/>
          <w:lang w:val="es-MX"/>
        </w:rPr>
        <w:t>a)</w:t>
      </w:r>
      <w:r w:rsidR="007442DA" w:rsidRPr="00E36CF5">
        <w:rPr>
          <w:rFonts w:ascii="Arial" w:hAnsi="Arial" w:cs="Arial"/>
          <w:sz w:val="20"/>
          <w:szCs w:val="20"/>
        </w:rPr>
        <w:t xml:space="preserve"> </w:t>
      </w:r>
      <w:r w:rsidR="007442DA" w:rsidRPr="00E36CF5">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36CF5">
        <w:rPr>
          <w:rFonts w:ascii="Arial" w:hAnsi="Arial" w:cs="Arial"/>
          <w:sz w:val="20"/>
          <w:szCs w:val="20"/>
        </w:rPr>
        <w:t xml:space="preserve"> </w:t>
      </w:r>
      <w:r w:rsidR="007442DA" w:rsidRPr="00E36CF5">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36CF5" w:rsidRDefault="00C45D74" w:rsidP="00B55114">
      <w:pPr>
        <w:ind w:left="1151" w:right="-285" w:hanging="431"/>
        <w:jc w:val="both"/>
        <w:rPr>
          <w:rFonts w:ascii="Arial" w:hAnsi="Arial" w:cs="Arial"/>
          <w:bCs/>
          <w:i/>
          <w:sz w:val="20"/>
          <w:szCs w:val="20"/>
          <w:lang w:val="es-MX"/>
        </w:rPr>
      </w:pPr>
      <w:r w:rsidRPr="00E36CF5">
        <w:rPr>
          <w:rFonts w:ascii="Arial" w:hAnsi="Arial" w:cs="Arial"/>
          <w:b/>
          <w:bCs/>
          <w:i/>
          <w:sz w:val="20"/>
          <w:szCs w:val="20"/>
          <w:lang w:val="es-MX"/>
        </w:rPr>
        <w:t>b)</w:t>
      </w:r>
      <w:r w:rsidRPr="00E36CF5">
        <w:rPr>
          <w:rFonts w:ascii="Arial" w:hAnsi="Arial" w:cs="Arial"/>
          <w:b/>
          <w:bCs/>
          <w:i/>
          <w:sz w:val="20"/>
          <w:szCs w:val="20"/>
          <w:lang w:val="es-MX"/>
        </w:rPr>
        <w:tab/>
      </w:r>
      <w:r w:rsidRPr="00E36CF5">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36CF5">
        <w:rPr>
          <w:rFonts w:ascii="Arial" w:hAnsi="Arial" w:cs="Arial"/>
          <w:bCs/>
          <w:i/>
          <w:sz w:val="20"/>
          <w:szCs w:val="20"/>
          <w:lang w:val="es-MX"/>
        </w:rPr>
        <w:t xml:space="preserve"> </w:t>
      </w:r>
      <w:r w:rsidRPr="00E36CF5">
        <w:rPr>
          <w:rFonts w:ascii="Arial" w:hAnsi="Arial" w:cs="Arial"/>
          <w:bCs/>
          <w:i/>
          <w:sz w:val="20"/>
          <w:szCs w:val="20"/>
          <w:lang w:val="es-MX"/>
        </w:rPr>
        <w:t>…</w:t>
      </w:r>
      <w:r w:rsidR="007442DA" w:rsidRPr="00E36CF5">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lastRenderedPageBreak/>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r w:rsidR="00B02014" w:rsidRPr="002867EB">
        <w:rPr>
          <w:rFonts w:ascii="Arial" w:eastAsia="SimSun" w:hAnsi="Arial" w:cs="Arial"/>
          <w:i/>
          <w:sz w:val="22"/>
          <w:szCs w:val="22"/>
          <w:lang w:eastAsia="zh-CN"/>
        </w:rPr>
        <w:t>LGIPE,</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del artículo 104 de la LGIPE,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r w:rsidR="00D165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r w:rsidR="00CA2A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D16537" w:rsidRPr="002867EB">
        <w:rPr>
          <w:rFonts w:ascii="Arial" w:eastAsia="SimSun" w:hAnsi="Arial" w:cs="Arial"/>
          <w:sz w:val="22"/>
          <w:szCs w:val="22"/>
          <w:lang w:eastAsia="zh-CN"/>
        </w:rPr>
        <w:t xml:space="preserve">El artículo 16, Apartado E de la </w:t>
      </w:r>
      <w:r w:rsidR="00D16537" w:rsidRPr="002867EB">
        <w:rPr>
          <w:rFonts w:ascii="Arial" w:eastAsia="SimSun" w:hAnsi="Arial" w:cs="Arial"/>
          <w:i/>
          <w:sz w:val="22"/>
          <w:szCs w:val="22"/>
          <w:lang w:eastAsia="zh-CN"/>
        </w:rPr>
        <w:t>CPEY</w:t>
      </w:r>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lastRenderedPageBreak/>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D16537" w:rsidRPr="002867EB">
        <w:rPr>
          <w:rFonts w:ascii="Arial" w:hAnsi="Arial" w:cs="Arial"/>
          <w:sz w:val="22"/>
          <w:szCs w:val="22"/>
        </w:rPr>
        <w:t xml:space="preserve">El artículo 75 Bis de la </w:t>
      </w:r>
      <w:r w:rsidR="00D16537" w:rsidRPr="002867EB">
        <w:rPr>
          <w:rFonts w:ascii="Arial" w:hAnsi="Arial" w:cs="Arial"/>
          <w:i/>
          <w:sz w:val="22"/>
          <w:szCs w:val="22"/>
        </w:rPr>
        <w:t>CPEY</w:t>
      </w:r>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B02014" w:rsidRPr="002867EB">
        <w:rPr>
          <w:rFonts w:ascii="Arial" w:hAnsi="Arial" w:cs="Arial"/>
          <w:sz w:val="22"/>
          <w:szCs w:val="22"/>
        </w:rPr>
        <w:t xml:space="preserve">El artículo 4 de la </w:t>
      </w:r>
      <w:r w:rsidR="00B02014" w:rsidRPr="002867EB">
        <w:rPr>
          <w:rFonts w:ascii="Arial" w:hAnsi="Arial" w:cs="Arial"/>
          <w:i/>
          <w:sz w:val="22"/>
          <w:szCs w:val="22"/>
        </w:rPr>
        <w:t xml:space="preserve">LIPEEY,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Pr="002867EB">
        <w:rPr>
          <w:rFonts w:ascii="Arial" w:hAnsi="Arial" w:cs="Arial"/>
          <w:sz w:val="22"/>
          <w:szCs w:val="22"/>
        </w:rPr>
        <w:t xml:space="preserve"> El artículo 103 de la </w:t>
      </w:r>
      <w:r w:rsidRPr="002867EB">
        <w:rPr>
          <w:rFonts w:ascii="Arial" w:hAnsi="Arial" w:cs="Arial"/>
          <w:i/>
          <w:sz w:val="22"/>
          <w:szCs w:val="22"/>
        </w:rPr>
        <w:t>LIPEEY</w:t>
      </w:r>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B02014" w:rsidRPr="002867EB">
        <w:rPr>
          <w:rFonts w:ascii="Arial" w:hAnsi="Arial" w:cs="Arial"/>
          <w:sz w:val="22"/>
          <w:szCs w:val="22"/>
        </w:rPr>
        <w:t xml:space="preserve"> El artículo 104 de la </w:t>
      </w:r>
      <w:r w:rsidR="00B02014" w:rsidRPr="002867EB">
        <w:rPr>
          <w:rFonts w:ascii="Arial" w:hAnsi="Arial" w:cs="Arial"/>
          <w:i/>
          <w:sz w:val="22"/>
          <w:szCs w:val="22"/>
        </w:rPr>
        <w:t>LIPEEY</w:t>
      </w:r>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r w:rsidR="00CA2A37" w:rsidRPr="002867EB">
        <w:rPr>
          <w:rFonts w:ascii="Arial" w:eastAsia="SimSun" w:hAnsi="Arial" w:cs="Arial"/>
          <w:sz w:val="22"/>
          <w:szCs w:val="22"/>
          <w:lang w:eastAsia="zh-CN"/>
        </w:rPr>
        <w:t>LIPEEY</w:t>
      </w:r>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E36CF5">
        <w:rPr>
          <w:rFonts w:ascii="Arial" w:eastAsia="SimSun" w:hAnsi="Arial" w:cs="Arial"/>
          <w:sz w:val="22"/>
          <w:szCs w:val="22"/>
          <w:lang w:eastAsia="zh-CN"/>
        </w:rPr>
        <w:t xml:space="preserve"> </w:t>
      </w:r>
      <w:r w:rsidR="00344AB9" w:rsidRPr="00E36CF5">
        <w:rPr>
          <w:rFonts w:ascii="Arial" w:eastAsia="SimSun" w:hAnsi="Arial" w:cs="Arial"/>
          <w:sz w:val="22"/>
          <w:szCs w:val="22"/>
          <w:lang w:eastAsia="zh-CN"/>
        </w:rPr>
        <w:t>c</w:t>
      </w:r>
      <w:r w:rsidR="00D16537" w:rsidRPr="00E36CF5">
        <w:rPr>
          <w:rFonts w:ascii="Arial" w:eastAsia="SimSun" w:hAnsi="Arial" w:cs="Arial"/>
          <w:sz w:val="22"/>
          <w:szCs w:val="22"/>
          <w:lang w:eastAsia="zh-CN"/>
        </w:rPr>
        <w:t>ontribuir al desarrollo de la vida democrática;</w:t>
      </w:r>
      <w:r w:rsidR="008878DD" w:rsidRPr="00E36CF5">
        <w:rPr>
          <w:rFonts w:ascii="Arial" w:eastAsia="SimSun" w:hAnsi="Arial" w:cs="Arial"/>
          <w:sz w:val="22"/>
          <w:szCs w:val="22"/>
          <w:lang w:eastAsia="zh-CN"/>
        </w:rPr>
        <w:t xml:space="preserve"> a</w:t>
      </w:r>
      <w:r w:rsidR="00D16537" w:rsidRPr="00E36CF5">
        <w:rPr>
          <w:rFonts w:ascii="Arial" w:eastAsia="SimSun" w:hAnsi="Arial" w:cs="Arial"/>
          <w:sz w:val="22"/>
          <w:szCs w:val="22"/>
          <w:lang w:eastAsia="zh-CN"/>
        </w:rPr>
        <w:t>segurar a los ciudadanos el goce y ejercicio de sus derechos político- electorales y vigilar el cumplimiento de sus deberes de esta naturaleza;</w:t>
      </w:r>
      <w:r w:rsidR="008878DD" w:rsidRPr="00E36CF5">
        <w:rPr>
          <w:rFonts w:ascii="Arial" w:eastAsia="SimSun" w:hAnsi="Arial" w:cs="Arial"/>
          <w:sz w:val="22"/>
          <w:szCs w:val="22"/>
          <w:lang w:eastAsia="zh-CN"/>
        </w:rPr>
        <w:t xml:space="preserve"> g</w:t>
      </w:r>
      <w:r w:rsidR="00D16537" w:rsidRPr="00E36CF5">
        <w:rPr>
          <w:rFonts w:ascii="Arial" w:eastAsia="SimSun" w:hAnsi="Arial" w:cs="Arial"/>
          <w:sz w:val="22"/>
          <w:szCs w:val="22"/>
          <w:lang w:eastAsia="zh-CN"/>
        </w:rPr>
        <w:t>arantizar la celebración periódica y pacífica de elecciones, para renovar a los Poderes Ejecutivo, Legislativo, y a los Ayuntamientos;</w:t>
      </w:r>
      <w:r w:rsidR="008878DD" w:rsidRPr="00E36CF5">
        <w:rPr>
          <w:rFonts w:ascii="Arial" w:eastAsia="SimSun" w:hAnsi="Arial" w:cs="Arial"/>
          <w:sz w:val="22"/>
          <w:szCs w:val="22"/>
          <w:lang w:eastAsia="zh-CN"/>
        </w:rPr>
        <w:t xml:space="preserve"> v</w:t>
      </w:r>
      <w:r w:rsidR="00D16537" w:rsidRPr="00E36CF5">
        <w:rPr>
          <w:rFonts w:ascii="Arial" w:eastAsia="SimSun" w:hAnsi="Arial" w:cs="Arial"/>
          <w:sz w:val="22"/>
          <w:szCs w:val="22"/>
          <w:lang w:eastAsia="zh-CN"/>
        </w:rPr>
        <w:t xml:space="preserve">elar por el secreto, libertad, universalidad, autenticidad, igualdad y eficacia del sufragio, y </w:t>
      </w:r>
      <w:r w:rsidR="008878DD" w:rsidRPr="00E36CF5">
        <w:rPr>
          <w:rFonts w:ascii="Arial" w:eastAsia="SimSun" w:hAnsi="Arial" w:cs="Arial"/>
          <w:sz w:val="22"/>
          <w:szCs w:val="22"/>
          <w:lang w:eastAsia="zh-CN"/>
        </w:rPr>
        <w:t>p</w:t>
      </w:r>
      <w:r w:rsidR="00D16537" w:rsidRPr="00E36CF5">
        <w:rPr>
          <w:rFonts w:ascii="Arial" w:eastAsia="SimSun" w:hAnsi="Arial" w:cs="Arial"/>
          <w:sz w:val="22"/>
          <w:szCs w:val="22"/>
          <w:lang w:eastAsia="zh-CN"/>
        </w:rPr>
        <w:t>romover que los ciudadanos participen en las elecciones y coadyuvar a la difusión de la cultura democrática.</w:t>
      </w:r>
      <w:r w:rsidR="00D16537" w:rsidRPr="00E36CF5">
        <w:rPr>
          <w:rFonts w:ascii="Arial" w:eastAsia="SimSun" w:hAnsi="Arial" w:cs="Arial"/>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están las siguientes:</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I. Vigilar el cumplimiento de las disposiciones constitucionales y las demás leyes aplicables;  </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lastRenderedPageBreak/>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VII. Dictar los reglamentos, lineamientos y acuerdos necesarios para hacer efectivas sus atribuciones y las disposiciones de esta Ley;</w:t>
      </w:r>
    </w:p>
    <w:p w:rsidR="00CA2A37" w:rsidRPr="00E36CF5" w:rsidRDefault="00CA2A37" w:rsidP="00B55114">
      <w:pPr>
        <w:ind w:left="426" w:right="-285"/>
        <w:jc w:val="both"/>
        <w:rPr>
          <w:rFonts w:ascii="Arial" w:hAnsi="Arial" w:cs="Arial"/>
          <w:i/>
          <w:sz w:val="18"/>
          <w:szCs w:val="18"/>
          <w:lang w:val="es-MX"/>
        </w:rPr>
      </w:pPr>
      <w:r w:rsidRPr="00E36CF5">
        <w:rPr>
          <w:rFonts w:ascii="Arial" w:hAnsi="Arial" w:cs="Arial"/>
          <w:i/>
          <w:sz w:val="18"/>
          <w:szCs w:val="18"/>
          <w:lang w:val="es-MX"/>
        </w:rPr>
        <w:t xml:space="preserve">XIII. Llevar a cabo la preparación, desarrollo y vigilancia del proceso electoral; </w:t>
      </w:r>
    </w:p>
    <w:p w:rsidR="00CA2A37" w:rsidRPr="00E36CF5" w:rsidRDefault="00CA2A37" w:rsidP="00B55114">
      <w:pPr>
        <w:ind w:left="426" w:right="-285"/>
        <w:jc w:val="both"/>
        <w:rPr>
          <w:rFonts w:ascii="Arial" w:hAnsi="Arial" w:cs="Arial"/>
          <w:b/>
          <w:i/>
          <w:sz w:val="18"/>
          <w:szCs w:val="18"/>
          <w:lang w:val="es-MX"/>
        </w:rPr>
      </w:pPr>
      <w:r w:rsidRPr="00E36CF5">
        <w:rPr>
          <w:rFonts w:ascii="Arial" w:hAnsi="Arial" w:cs="Arial"/>
          <w:b/>
          <w:i/>
          <w:sz w:val="18"/>
          <w:szCs w:val="18"/>
          <w:lang w:val="es-MX"/>
        </w:rPr>
        <w:t>XIV. Vigilar la debida integración, instalación y adecuado funcionamiento de los órganos del Instituto;</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XXVIII. Designar a los consejeros electorales, propietarios y suplentes, de los consejos distritales y municipales.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E36CF5" w:rsidRDefault="00452D5A" w:rsidP="00B55114">
      <w:pPr>
        <w:ind w:left="426" w:right="-285"/>
        <w:jc w:val="both"/>
        <w:rPr>
          <w:rFonts w:ascii="Arial" w:eastAsia="SimSun" w:hAnsi="Arial" w:cs="Arial"/>
          <w:i/>
          <w:sz w:val="18"/>
          <w:szCs w:val="18"/>
          <w:lang w:val="es-MX" w:eastAsia="zh-CN"/>
        </w:rPr>
      </w:pPr>
      <w:r w:rsidRPr="00E36CF5">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E36CF5">
        <w:rPr>
          <w:rFonts w:ascii="Arial" w:eastAsia="SimSun" w:hAnsi="Arial" w:cs="Arial"/>
          <w:b/>
          <w:i/>
          <w:sz w:val="18"/>
          <w:szCs w:val="18"/>
          <w:lang w:val="es-MX" w:eastAsia="zh-CN"/>
        </w:rPr>
        <w:t xml:space="preserve"> </w:t>
      </w:r>
      <w:r w:rsidRPr="00E36CF5">
        <w:rPr>
          <w:rFonts w:ascii="Arial" w:eastAsia="SimSun" w:hAnsi="Arial" w:cs="Arial"/>
          <w:i/>
          <w:sz w:val="18"/>
          <w:szCs w:val="18"/>
          <w:lang w:val="es-MX" w:eastAsia="zh-CN"/>
        </w:rPr>
        <w:t>del Instituto a recibir, dar trámite y responder sobre la procedencia de las citadas objeciones;</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E36CF5" w:rsidRDefault="00452D5A" w:rsidP="00B55114">
      <w:pPr>
        <w:ind w:left="426" w:right="-285"/>
        <w:jc w:val="both"/>
        <w:rPr>
          <w:rFonts w:ascii="Arial" w:eastAsia="SimSun" w:hAnsi="Arial" w:cs="Arial"/>
          <w:i/>
          <w:sz w:val="18"/>
          <w:szCs w:val="18"/>
          <w:lang w:val="es-ES_tradnl" w:eastAsia="zh-CN"/>
        </w:rPr>
      </w:pPr>
      <w:r w:rsidRPr="00E36CF5">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E36CF5" w:rsidRDefault="00CA2A37" w:rsidP="00B55114">
      <w:pPr>
        <w:ind w:left="426" w:right="-285"/>
        <w:jc w:val="both"/>
        <w:rPr>
          <w:rFonts w:ascii="Arial" w:hAnsi="Arial" w:cs="Arial"/>
          <w:i/>
          <w:sz w:val="18"/>
          <w:szCs w:val="18"/>
          <w:lang w:val="es-MX"/>
        </w:rPr>
      </w:pPr>
      <w:r w:rsidRPr="00E36CF5">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0359FE"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Pr="002867EB"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4E7883">
        <w:rPr>
          <w:rFonts w:ascii="Arial" w:hAnsi="Arial" w:cs="Arial"/>
          <w:b/>
          <w:sz w:val="22"/>
          <w:szCs w:val="22"/>
        </w:rPr>
        <w:t>1</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 Vigilar la observancia de esta Ley y los acuerdos y resoluciones de las autoridades electorales;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 Cumplir con los acuerdos que dicten el Consejo General del Instituto y los Consejos Distritales respectivos;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 Contar con los asistentes necesarios para el ejercicio de sus funciones que le asigne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 Realizar el cómputo municipal y emitir la declaración de validez de la elección de regidores;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 Recibir el recurso de revisión y remitirlo al Consejo General del Instituto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 Informar al Consejo General sobre el desarrollo de sus funciones;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36CF5" w:rsidRDefault="00713CBA" w:rsidP="00B55114">
      <w:pPr>
        <w:ind w:left="284" w:right="-285"/>
        <w:jc w:val="both"/>
        <w:rPr>
          <w:rFonts w:ascii="Arial" w:hAnsi="Arial" w:cs="Arial"/>
          <w:i/>
          <w:sz w:val="18"/>
          <w:szCs w:val="18"/>
        </w:rPr>
      </w:pPr>
      <w:r w:rsidRPr="00E36CF5">
        <w:rPr>
          <w:rFonts w:ascii="Arial" w:hAnsi="Arial" w:cs="Arial"/>
          <w:i/>
          <w:sz w:val="18"/>
          <w:szCs w:val="18"/>
        </w:rPr>
        <w:t xml:space="preserve">XVII. Solicitar el apoyo de la fuerza pública para garantizar el normal desarrollo del proceso electoral, y </w:t>
      </w:r>
    </w:p>
    <w:p w:rsidR="00713CBA" w:rsidRPr="00E36CF5" w:rsidRDefault="00713CBA" w:rsidP="00B55114">
      <w:pPr>
        <w:ind w:left="284" w:right="-285"/>
        <w:jc w:val="both"/>
        <w:rPr>
          <w:rFonts w:ascii="Arial" w:hAnsi="Arial" w:cs="Arial"/>
          <w:i/>
          <w:sz w:val="18"/>
          <w:szCs w:val="18"/>
          <w:highlight w:val="yellow"/>
        </w:rPr>
      </w:pPr>
      <w:r w:rsidRPr="00E36CF5">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8C5C12" w:rsidRDefault="008C5C12" w:rsidP="008C5C12">
      <w:pPr>
        <w:spacing w:line="276" w:lineRule="auto"/>
        <w:ind w:left="-284" w:right="-285"/>
        <w:jc w:val="both"/>
        <w:rPr>
          <w:rFonts w:ascii="Arial" w:hAnsi="Arial" w:cs="Arial"/>
          <w:sz w:val="22"/>
          <w:szCs w:val="22"/>
        </w:rPr>
      </w:pPr>
      <w:r>
        <w:rPr>
          <w:rFonts w:ascii="Arial" w:hAnsi="Arial" w:cs="Arial"/>
          <w:b/>
          <w:sz w:val="22"/>
          <w:szCs w:val="22"/>
        </w:rPr>
        <w:lastRenderedPageBreak/>
        <w:t>22</w:t>
      </w:r>
      <w:r w:rsidRPr="00270708">
        <w:rPr>
          <w:rFonts w:ascii="Arial" w:hAnsi="Arial" w:cs="Arial"/>
          <w:b/>
          <w:sz w:val="22"/>
          <w:szCs w:val="22"/>
        </w:rPr>
        <w:t>.-</w:t>
      </w:r>
      <w:r w:rsidRPr="00270708">
        <w:rPr>
          <w:rFonts w:ascii="Arial" w:hAnsi="Arial" w:cs="Arial"/>
          <w:sz w:val="22"/>
          <w:szCs w:val="22"/>
        </w:rPr>
        <w:t xml:space="preserve"> Que el artículo 30 del </w:t>
      </w:r>
      <w:r w:rsidRPr="00270708">
        <w:rPr>
          <w:rFonts w:ascii="Arial" w:hAnsi="Arial" w:cs="Arial"/>
          <w:i/>
          <w:sz w:val="22"/>
          <w:szCs w:val="22"/>
        </w:rPr>
        <w:t>Reglamento</w:t>
      </w:r>
      <w:r w:rsidRPr="00270708">
        <w:rPr>
          <w:rFonts w:ascii="Arial" w:hAnsi="Arial" w:cs="Arial"/>
          <w:sz w:val="22"/>
          <w:szCs w:val="22"/>
        </w:rPr>
        <w:t>, señala que caso de tener que cubrir alguna vacante, la designación correspondiente de entre la lista de suplentes, se hará procurando el principio de paridad de género.</w:t>
      </w:r>
    </w:p>
    <w:p w:rsidR="008C5C12" w:rsidRDefault="008C5C12" w:rsidP="00B55114">
      <w:pPr>
        <w:spacing w:line="276" w:lineRule="auto"/>
        <w:ind w:left="-284" w:right="-285"/>
        <w:jc w:val="both"/>
        <w:rPr>
          <w:rFonts w:ascii="Arial" w:hAnsi="Arial" w:cs="Arial"/>
          <w:b/>
          <w:sz w:val="22"/>
          <w:szCs w:val="22"/>
        </w:rPr>
      </w:pPr>
    </w:p>
    <w:p w:rsidR="002D5FC1" w:rsidRDefault="00394485" w:rsidP="00375D0F">
      <w:pPr>
        <w:spacing w:line="276" w:lineRule="auto"/>
        <w:ind w:left="-284" w:right="-285"/>
        <w:jc w:val="both"/>
        <w:rPr>
          <w:rFonts w:ascii="Arial" w:hAnsi="Arial" w:cs="Arial"/>
          <w:sz w:val="22"/>
          <w:szCs w:val="22"/>
        </w:rPr>
      </w:pPr>
      <w:r w:rsidRPr="00375D0F">
        <w:rPr>
          <w:rFonts w:ascii="Arial" w:hAnsi="Arial" w:cs="Arial"/>
          <w:b/>
          <w:sz w:val="22"/>
          <w:szCs w:val="22"/>
          <w:highlight w:val="yellow"/>
        </w:rPr>
        <w:t>2</w:t>
      </w:r>
      <w:r w:rsidR="008C5C12" w:rsidRPr="00375D0F">
        <w:rPr>
          <w:rFonts w:ascii="Arial" w:hAnsi="Arial" w:cs="Arial"/>
          <w:b/>
          <w:sz w:val="22"/>
          <w:szCs w:val="22"/>
          <w:highlight w:val="yellow"/>
        </w:rPr>
        <w:t>3</w:t>
      </w:r>
      <w:r w:rsidR="003274FC" w:rsidRPr="00375D0F">
        <w:rPr>
          <w:rFonts w:ascii="Arial" w:hAnsi="Arial" w:cs="Arial"/>
          <w:b/>
          <w:sz w:val="22"/>
          <w:szCs w:val="22"/>
          <w:highlight w:val="yellow"/>
        </w:rPr>
        <w:t>.-</w:t>
      </w:r>
      <w:r w:rsidR="003274FC" w:rsidRPr="00375D0F">
        <w:rPr>
          <w:rFonts w:ascii="Arial" w:hAnsi="Arial" w:cs="Arial"/>
          <w:sz w:val="22"/>
          <w:szCs w:val="22"/>
          <w:highlight w:val="yellow"/>
        </w:rPr>
        <w:t xml:space="preserve"> </w:t>
      </w:r>
      <w:r w:rsidR="00375D0F">
        <w:rPr>
          <w:rFonts w:ascii="Arial" w:hAnsi="Arial" w:cs="Arial"/>
          <w:sz w:val="22"/>
          <w:szCs w:val="22"/>
          <w:highlight w:val="yellow"/>
        </w:rPr>
        <w:t>L</w:t>
      </w:r>
      <w:r w:rsidR="00375D0F" w:rsidRPr="00375D0F">
        <w:rPr>
          <w:rFonts w:ascii="Arial" w:hAnsi="Arial" w:cs="Arial"/>
          <w:sz w:val="22"/>
          <w:szCs w:val="22"/>
          <w:highlight w:val="yellow"/>
        </w:rPr>
        <w:t>os datos personales</w:t>
      </w:r>
      <w:r w:rsidR="00375D0F">
        <w:rPr>
          <w:rFonts w:ascii="Arial" w:hAnsi="Arial" w:cs="Arial"/>
          <w:sz w:val="22"/>
          <w:szCs w:val="22"/>
          <w:highlight w:val="yellow"/>
        </w:rPr>
        <w:t xml:space="preserve"> descritos </w:t>
      </w:r>
      <w:bookmarkStart w:id="0" w:name="_GoBack"/>
      <w:bookmarkEnd w:id="0"/>
      <w:r w:rsidR="00375D0F" w:rsidRPr="00375D0F">
        <w:rPr>
          <w:rFonts w:ascii="Arial" w:hAnsi="Arial" w:cs="Arial"/>
          <w:sz w:val="22"/>
          <w:szCs w:val="22"/>
          <w:highlight w:val="yellow"/>
        </w:rPr>
        <w:t xml:space="preserve">en este considerando fueron eliminados </w:t>
      </w:r>
      <w:r w:rsidR="00375D0F" w:rsidRPr="00375D0F">
        <w:rPr>
          <w:rFonts w:ascii="Arial" w:hAnsi="Arial" w:cs="Arial"/>
          <w:sz w:val="22"/>
          <w:szCs w:val="22"/>
          <w:highlight w:val="yellow"/>
        </w:rPr>
        <w:t>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p w:rsidR="00375D0F" w:rsidRPr="00375D0F" w:rsidRDefault="00375D0F" w:rsidP="00375D0F">
      <w:pPr>
        <w:spacing w:line="276" w:lineRule="auto"/>
        <w:ind w:left="-284" w:right="-285"/>
        <w:jc w:val="both"/>
        <w:rPr>
          <w:rFonts w:ascii="Arial" w:hAnsi="Arial" w:cs="Arial"/>
          <w:sz w:val="22"/>
          <w:szCs w:val="22"/>
        </w:rPr>
      </w:pPr>
    </w:p>
    <w:p w:rsidR="00E05099" w:rsidRPr="002D5FC1" w:rsidRDefault="002D5FC1" w:rsidP="00B55114">
      <w:pPr>
        <w:spacing w:line="276" w:lineRule="auto"/>
        <w:ind w:left="-284" w:right="-285"/>
        <w:jc w:val="both"/>
        <w:rPr>
          <w:rFonts w:ascii="Arial" w:hAnsi="Arial" w:cs="Arial"/>
          <w:sz w:val="22"/>
          <w:szCs w:val="22"/>
        </w:rPr>
      </w:pPr>
      <w:r w:rsidRPr="00D71F2E">
        <w:rPr>
          <w:rFonts w:ascii="Arial" w:hAnsi="Arial" w:cs="Arial"/>
          <w:b/>
          <w:sz w:val="22"/>
          <w:szCs w:val="22"/>
          <w:shd w:val="clear" w:color="auto" w:fill="FFFFFF"/>
        </w:rPr>
        <w:t>24.-</w:t>
      </w:r>
      <w:r w:rsidRPr="00D71F2E">
        <w:rPr>
          <w:rFonts w:ascii="Arial" w:hAnsi="Arial" w:cs="Arial"/>
          <w:sz w:val="22"/>
          <w:szCs w:val="22"/>
          <w:shd w:val="clear" w:color="auto" w:fill="FFFFFF"/>
        </w:rPr>
        <w:t xml:space="preserve"> Que en virtud de los trabajos que se encuentra realizando el Consejo Municipal respectivo y toda vez de la incapacidad se presentó en la integrante que ostentaba el cargo de Presidenta y con el objeto de no afectar el desarrollo de las etapas del Proceso Electoral, los integrantes acordaron designar como nueva presidenta a la C. NELLY AURORA </w:t>
      </w:r>
      <w:r w:rsidRPr="00D71F2E">
        <w:rPr>
          <w:rFonts w:ascii="Arial" w:hAnsi="Arial" w:cs="Arial"/>
          <w:sz w:val="22"/>
          <w:szCs w:val="22"/>
          <w:bdr w:val="none" w:sz="0" w:space="0" w:color="auto" w:frame="1"/>
          <w:shd w:val="clear" w:color="auto" w:fill="FFFFFF"/>
        </w:rPr>
        <w:t xml:space="preserve">ROMERO </w:t>
      </w:r>
      <w:proofErr w:type="spellStart"/>
      <w:r w:rsidRPr="00D71F2E">
        <w:rPr>
          <w:rFonts w:ascii="Arial" w:hAnsi="Arial" w:cs="Arial"/>
          <w:sz w:val="22"/>
          <w:szCs w:val="22"/>
          <w:bdr w:val="none" w:sz="0" w:space="0" w:color="auto" w:frame="1"/>
          <w:shd w:val="clear" w:color="auto" w:fill="FFFFFF"/>
        </w:rPr>
        <w:t>ROMERO</w:t>
      </w:r>
      <w:proofErr w:type="spellEnd"/>
      <w:r w:rsidRPr="00D71F2E">
        <w:rPr>
          <w:rFonts w:ascii="Arial" w:hAnsi="Arial" w:cs="Arial"/>
          <w:sz w:val="22"/>
          <w:szCs w:val="22"/>
          <w:bdr w:val="none" w:sz="0" w:space="0" w:color="auto" w:frame="1"/>
          <w:shd w:val="clear" w:color="auto" w:fill="FFFFFF"/>
        </w:rPr>
        <w:t>.</w:t>
      </w:r>
    </w:p>
    <w:p w:rsidR="002D5FC1" w:rsidRDefault="002D5FC1" w:rsidP="002D5FC1">
      <w:pPr>
        <w:spacing w:line="276" w:lineRule="auto"/>
        <w:ind w:left="-284" w:right="-285"/>
        <w:jc w:val="both"/>
        <w:rPr>
          <w:rFonts w:ascii="Arial" w:hAnsi="Arial" w:cs="Arial"/>
          <w:b/>
          <w:sz w:val="22"/>
          <w:szCs w:val="22"/>
        </w:rPr>
      </w:pPr>
    </w:p>
    <w:p w:rsidR="003274FC" w:rsidRPr="002D5FC1" w:rsidRDefault="00E05099" w:rsidP="002D5FC1">
      <w:pPr>
        <w:spacing w:line="276" w:lineRule="auto"/>
        <w:ind w:left="-284" w:right="-285"/>
        <w:jc w:val="both"/>
        <w:rPr>
          <w:rFonts w:ascii="Arial" w:hAnsi="Arial" w:cs="Arial"/>
          <w:sz w:val="22"/>
          <w:szCs w:val="22"/>
        </w:rPr>
      </w:pPr>
      <w:r w:rsidRPr="00D71F2E">
        <w:rPr>
          <w:rFonts w:ascii="Arial" w:hAnsi="Arial" w:cs="Arial"/>
          <w:b/>
          <w:sz w:val="22"/>
          <w:szCs w:val="22"/>
        </w:rPr>
        <w:t>2</w:t>
      </w:r>
      <w:r w:rsidR="002D5FC1" w:rsidRPr="00D71F2E">
        <w:rPr>
          <w:rFonts w:ascii="Arial" w:hAnsi="Arial" w:cs="Arial"/>
          <w:b/>
          <w:sz w:val="22"/>
          <w:szCs w:val="22"/>
        </w:rPr>
        <w:t>5</w:t>
      </w:r>
      <w:r w:rsidRPr="00D71F2E">
        <w:rPr>
          <w:rFonts w:ascii="Arial" w:hAnsi="Arial" w:cs="Arial"/>
          <w:b/>
          <w:sz w:val="22"/>
          <w:szCs w:val="22"/>
        </w:rPr>
        <w:t>.-</w:t>
      </w:r>
      <w:r w:rsidRPr="00D71F2E">
        <w:rPr>
          <w:rFonts w:ascii="Arial" w:hAnsi="Arial" w:cs="Arial"/>
          <w:sz w:val="22"/>
          <w:szCs w:val="22"/>
        </w:rPr>
        <w:t xml:space="preserve"> En virtud de que la C. DELMY ARACELY LARA BUENFIL, no</w:t>
      </w:r>
      <w:r w:rsidR="002D5FC1" w:rsidRPr="00D71F2E">
        <w:rPr>
          <w:rFonts w:ascii="Arial" w:hAnsi="Arial" w:cs="Arial"/>
          <w:sz w:val="22"/>
          <w:szCs w:val="22"/>
        </w:rPr>
        <w:t xml:space="preserve"> </w:t>
      </w:r>
      <w:r w:rsidRPr="00D71F2E">
        <w:rPr>
          <w:rFonts w:ascii="Arial" w:hAnsi="Arial" w:cs="Arial"/>
          <w:sz w:val="22"/>
          <w:szCs w:val="22"/>
        </w:rPr>
        <w:t>se encuentra en posibilidad de</w:t>
      </w:r>
      <w:r w:rsidR="002D5FC1" w:rsidRPr="00D71F2E">
        <w:rPr>
          <w:rFonts w:ascii="Arial" w:hAnsi="Arial" w:cs="Arial"/>
          <w:sz w:val="22"/>
          <w:szCs w:val="22"/>
        </w:rPr>
        <w:t xml:space="preserve"> seguir desempeñando su cargo; y </w:t>
      </w:r>
      <w:r w:rsidR="00D71F2E" w:rsidRPr="00D71F2E">
        <w:rPr>
          <w:rFonts w:ascii="Arial" w:hAnsi="Arial" w:cs="Arial"/>
          <w:sz w:val="22"/>
          <w:szCs w:val="22"/>
        </w:rPr>
        <w:t xml:space="preserve">en el ejercicio de la atribución de </w:t>
      </w:r>
      <w:r w:rsidR="00D71F2E" w:rsidRPr="00D71F2E">
        <w:rPr>
          <w:rFonts w:ascii="Arial" w:hAnsi="Arial" w:cs="Arial"/>
          <w:sz w:val="22"/>
          <w:szCs w:val="22"/>
          <w:lang w:val="es-MX"/>
        </w:rPr>
        <w:t xml:space="preserve">vigilar la debida integración, instalación y adecuado funcionamiento de los órganos del Instituto, </w:t>
      </w:r>
      <w:r w:rsidR="005845AA" w:rsidRPr="00D71F2E">
        <w:rPr>
          <w:rFonts w:ascii="Arial" w:hAnsi="Arial" w:cs="Arial"/>
          <w:sz w:val="22"/>
          <w:szCs w:val="22"/>
        </w:rPr>
        <w:t xml:space="preserve">y siendo el Consejo Municipal responsable, en términos de la LIPEEY, de la organización desarrollo y vigilancia de </w:t>
      </w:r>
      <w:r w:rsidR="005B6567" w:rsidRPr="00D71F2E">
        <w:rPr>
          <w:rFonts w:ascii="Arial" w:hAnsi="Arial" w:cs="Arial"/>
          <w:sz w:val="22"/>
          <w:szCs w:val="22"/>
        </w:rPr>
        <w:t>la elección de R</w:t>
      </w:r>
      <w:r w:rsidR="005845AA" w:rsidRPr="00D71F2E">
        <w:rPr>
          <w:rFonts w:ascii="Arial" w:hAnsi="Arial" w:cs="Arial"/>
          <w:sz w:val="22"/>
          <w:szCs w:val="22"/>
        </w:rPr>
        <w:t xml:space="preserve">egidores para integrar el Ayuntamiento del municipio de </w:t>
      </w:r>
      <w:proofErr w:type="spellStart"/>
      <w:r w:rsidR="005B6567" w:rsidRPr="00D71F2E">
        <w:rPr>
          <w:rFonts w:ascii="Arial" w:hAnsi="Arial" w:cs="Arial"/>
          <w:sz w:val="22"/>
          <w:szCs w:val="22"/>
        </w:rPr>
        <w:t>Tekax</w:t>
      </w:r>
      <w:proofErr w:type="spellEnd"/>
      <w:r w:rsidR="004B5E73" w:rsidRPr="00D71F2E">
        <w:rPr>
          <w:rFonts w:ascii="Arial" w:hAnsi="Arial" w:cs="Arial"/>
          <w:sz w:val="22"/>
          <w:szCs w:val="22"/>
        </w:rPr>
        <w:t>,</w:t>
      </w:r>
      <w:r w:rsidR="005845AA" w:rsidRPr="00D71F2E">
        <w:rPr>
          <w:rFonts w:ascii="Arial" w:hAnsi="Arial" w:cs="Arial"/>
          <w:sz w:val="22"/>
          <w:szCs w:val="22"/>
        </w:rPr>
        <w:t xml:space="preserve"> </w:t>
      </w:r>
      <w:r w:rsidR="00D71F2E" w:rsidRPr="00D71F2E">
        <w:rPr>
          <w:rFonts w:ascii="Arial" w:hAnsi="Arial" w:cs="Arial"/>
          <w:sz w:val="22"/>
          <w:szCs w:val="22"/>
          <w:lang w:val="es-MX"/>
        </w:rPr>
        <w:t xml:space="preserve">es que este </w:t>
      </w:r>
      <w:r w:rsidR="00D71F2E" w:rsidRPr="00D71F2E">
        <w:rPr>
          <w:rFonts w:ascii="Arial" w:hAnsi="Arial" w:cs="Arial"/>
          <w:sz w:val="22"/>
          <w:szCs w:val="22"/>
        </w:rPr>
        <w:t>Consejo General cumpla,</w:t>
      </w:r>
      <w:r w:rsidR="00D86D98">
        <w:rPr>
          <w:rFonts w:ascii="Arial" w:hAnsi="Arial" w:cs="Arial"/>
          <w:sz w:val="22"/>
          <w:szCs w:val="22"/>
        </w:rPr>
        <w:t xml:space="preserve"> </w:t>
      </w:r>
      <w:r w:rsidR="003274FC" w:rsidRPr="00D71F2E">
        <w:rPr>
          <w:rFonts w:ascii="Arial" w:hAnsi="Arial" w:cs="Arial"/>
          <w:sz w:val="22"/>
          <w:szCs w:val="22"/>
        </w:rPr>
        <w:t xml:space="preserve">es necesario que este Órgano Electoral </w:t>
      </w:r>
      <w:r w:rsidR="005B6567" w:rsidRPr="00D71F2E">
        <w:rPr>
          <w:rFonts w:ascii="Arial" w:hAnsi="Arial" w:cs="Arial"/>
          <w:sz w:val="22"/>
          <w:szCs w:val="22"/>
        </w:rPr>
        <w:t>determine que suplente cubrirá la vacante de Consejero Electoral en el citado Consejo Respectivo.</w:t>
      </w:r>
    </w:p>
    <w:p w:rsidR="00C85062" w:rsidRPr="002867EB" w:rsidRDefault="00C85062"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t>Y por todo lo anteriormente expuesto, fundado y motivado, el Consejo General de este Instituto, emite el siguiente:</w:t>
      </w:r>
    </w:p>
    <w:p w:rsidR="00444914"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083E61" w:rsidRPr="002867EB" w:rsidRDefault="00083E61"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D5FC1">
      <w:pPr>
        <w:pStyle w:val="Default"/>
        <w:spacing w:line="276" w:lineRule="auto"/>
        <w:ind w:left="-360" w:right="-234"/>
        <w:jc w:val="both"/>
        <w:rPr>
          <w:color w:val="auto"/>
          <w:sz w:val="22"/>
          <w:szCs w:val="22"/>
        </w:rPr>
      </w:pPr>
      <w:r w:rsidRPr="00D86D98">
        <w:rPr>
          <w:b/>
          <w:color w:val="auto"/>
          <w:sz w:val="22"/>
          <w:szCs w:val="22"/>
        </w:rPr>
        <w:t>PRIMERO.</w:t>
      </w:r>
      <w:r w:rsidRPr="00D86D98">
        <w:rPr>
          <w:color w:val="auto"/>
          <w:sz w:val="22"/>
          <w:szCs w:val="22"/>
        </w:rPr>
        <w:t xml:space="preserve"> </w:t>
      </w:r>
      <w:r w:rsidR="002D5FC1" w:rsidRPr="00D86D98">
        <w:rPr>
          <w:color w:val="auto"/>
          <w:sz w:val="22"/>
          <w:szCs w:val="22"/>
        </w:rPr>
        <w:t xml:space="preserve">En virtud de lo manifestado en los considerandos del presente Acuerdo, </w:t>
      </w:r>
      <w:r w:rsidR="002D5FC1" w:rsidRPr="00D86D98">
        <w:rPr>
          <w:sz w:val="22"/>
          <w:szCs w:val="22"/>
        </w:rPr>
        <w:t xml:space="preserve">se determina se llame para que entre en funciones al cargo de Consejera Electoral Propietaria del Consejo Municipal Electoral de </w:t>
      </w:r>
      <w:proofErr w:type="spellStart"/>
      <w:r w:rsidR="002D5FC1" w:rsidRPr="00D86D98">
        <w:rPr>
          <w:sz w:val="22"/>
          <w:szCs w:val="22"/>
        </w:rPr>
        <w:t>Tekax</w:t>
      </w:r>
      <w:proofErr w:type="spellEnd"/>
      <w:r w:rsidR="002D5FC1" w:rsidRPr="00D86D98">
        <w:rPr>
          <w:sz w:val="22"/>
          <w:szCs w:val="22"/>
        </w:rPr>
        <w:t xml:space="preserve">, a la ciudadana </w:t>
      </w:r>
      <w:r w:rsidR="002D5FC1" w:rsidRPr="00D86D98">
        <w:rPr>
          <w:b/>
          <w:sz w:val="22"/>
          <w:szCs w:val="22"/>
        </w:rPr>
        <w:t xml:space="preserve">Dulce Cristina Caamal </w:t>
      </w:r>
      <w:proofErr w:type="spellStart"/>
      <w:r w:rsidR="002D5FC1" w:rsidRPr="00D86D98">
        <w:rPr>
          <w:b/>
          <w:sz w:val="22"/>
          <w:szCs w:val="22"/>
        </w:rPr>
        <w:t>May</w:t>
      </w:r>
      <w:proofErr w:type="spellEnd"/>
      <w:r w:rsidR="002D5FC1" w:rsidRPr="00D86D98">
        <w:rPr>
          <w:sz w:val="22"/>
          <w:szCs w:val="22"/>
        </w:rPr>
        <w:t>, quien entrará en funciones de manera inmediata y previa firma de la Protesta de Ley por escrito; quedando la integración del citado Consejo Municipal de la siguiente manera:</w:t>
      </w:r>
    </w:p>
    <w:p w:rsidR="003B2C7E" w:rsidRPr="002867EB" w:rsidRDefault="003B2C7E" w:rsidP="00B2501F">
      <w:pPr>
        <w:spacing w:line="276" w:lineRule="auto"/>
        <w:ind w:left="-360" w:right="-234"/>
        <w:jc w:val="both"/>
        <w:rPr>
          <w:rFonts w:ascii="Arial" w:hAnsi="Arial" w:cs="Arial"/>
          <w:sz w:val="22"/>
          <w:szCs w:val="22"/>
        </w:rPr>
      </w:pPr>
    </w:p>
    <w:tbl>
      <w:tblPr>
        <w:tblW w:w="8310" w:type="dxa"/>
        <w:jc w:val="center"/>
        <w:tblCellMar>
          <w:left w:w="70" w:type="dxa"/>
          <w:right w:w="70" w:type="dxa"/>
        </w:tblCellMar>
        <w:tblLook w:val="04A0" w:firstRow="1" w:lastRow="0" w:firstColumn="1" w:lastColumn="0" w:noHBand="0" w:noVBand="1"/>
      </w:tblPr>
      <w:tblGrid>
        <w:gridCol w:w="2872"/>
        <w:gridCol w:w="2760"/>
        <w:gridCol w:w="2678"/>
      </w:tblGrid>
      <w:tr w:rsidR="00225A62" w:rsidRPr="008C5C12" w:rsidTr="00682BB7">
        <w:trPr>
          <w:trHeight w:val="300"/>
          <w:jc w:val="center"/>
        </w:trPr>
        <w:tc>
          <w:tcPr>
            <w:tcW w:w="831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25A62" w:rsidRPr="008C5C12" w:rsidRDefault="00225A62" w:rsidP="005B6567">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 xml:space="preserve">CONSEJO MUNICIPAL ELECTORAL DE </w:t>
            </w:r>
            <w:r w:rsidR="005B6567">
              <w:rPr>
                <w:rFonts w:ascii="Arial Narrow" w:hAnsi="Arial Narrow" w:cs="Calibri"/>
                <w:b/>
                <w:bCs/>
                <w:color w:val="000000"/>
                <w:sz w:val="18"/>
                <w:szCs w:val="18"/>
              </w:rPr>
              <w:t>TEKAX</w:t>
            </w:r>
          </w:p>
        </w:tc>
      </w:tr>
      <w:tr w:rsidR="00225A62" w:rsidRPr="008C5C12" w:rsidTr="00682BB7">
        <w:trPr>
          <w:trHeight w:val="207"/>
          <w:jc w:val="center"/>
        </w:trPr>
        <w:tc>
          <w:tcPr>
            <w:tcW w:w="8310" w:type="dxa"/>
            <w:gridSpan w:val="3"/>
            <w:vMerge/>
            <w:tcBorders>
              <w:top w:val="single" w:sz="4" w:space="0" w:color="auto"/>
              <w:left w:val="single" w:sz="4" w:space="0" w:color="auto"/>
              <w:bottom w:val="single" w:sz="4" w:space="0" w:color="auto"/>
              <w:right w:val="single" w:sz="4" w:space="0" w:color="auto"/>
            </w:tcBorders>
            <w:vAlign w:val="center"/>
            <w:hideMark/>
          </w:tcPr>
          <w:p w:rsidR="00225A62" w:rsidRPr="008C5C12" w:rsidRDefault="00225A62" w:rsidP="004B5E73">
            <w:pPr>
              <w:rPr>
                <w:rFonts w:ascii="Arial Narrow" w:hAnsi="Arial Narrow" w:cs="Calibri"/>
                <w:b/>
                <w:bCs/>
                <w:color w:val="000000"/>
                <w:sz w:val="18"/>
                <w:szCs w:val="18"/>
              </w:rPr>
            </w:pPr>
          </w:p>
        </w:tc>
      </w:tr>
      <w:tr w:rsidR="00225A62" w:rsidRPr="008C5C12" w:rsidTr="00682BB7">
        <w:trPr>
          <w:trHeight w:val="330"/>
          <w:jc w:val="center"/>
        </w:trPr>
        <w:tc>
          <w:tcPr>
            <w:tcW w:w="2872" w:type="dxa"/>
            <w:tcBorders>
              <w:top w:val="nil"/>
              <w:left w:val="single" w:sz="4" w:space="0" w:color="auto"/>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CARGO</w:t>
            </w:r>
          </w:p>
        </w:tc>
        <w:tc>
          <w:tcPr>
            <w:tcW w:w="2760" w:type="dxa"/>
            <w:tcBorders>
              <w:top w:val="nil"/>
              <w:left w:val="nil"/>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NOMBRE COMPLETO</w:t>
            </w:r>
          </w:p>
        </w:tc>
        <w:tc>
          <w:tcPr>
            <w:tcW w:w="2678" w:type="dxa"/>
            <w:tcBorders>
              <w:top w:val="nil"/>
              <w:left w:val="nil"/>
              <w:bottom w:val="single" w:sz="4" w:space="0" w:color="auto"/>
              <w:right w:val="single" w:sz="4" w:space="0" w:color="auto"/>
            </w:tcBorders>
            <w:shd w:val="clear" w:color="000000" w:fill="FF9900"/>
            <w:vAlign w:val="center"/>
            <w:hideMark/>
          </w:tcPr>
          <w:p w:rsidR="00225A62" w:rsidRPr="008C5C12" w:rsidRDefault="00225A62" w:rsidP="004B5E73">
            <w:pPr>
              <w:jc w:val="center"/>
              <w:rPr>
                <w:rFonts w:ascii="Arial Narrow" w:hAnsi="Arial Narrow" w:cs="Calibri"/>
                <w:b/>
                <w:bCs/>
                <w:color w:val="000000"/>
                <w:sz w:val="18"/>
                <w:szCs w:val="18"/>
              </w:rPr>
            </w:pPr>
            <w:r w:rsidRPr="008C5C12">
              <w:rPr>
                <w:rFonts w:ascii="Arial Narrow" w:hAnsi="Arial Narrow" w:cs="Calibri"/>
                <w:b/>
                <w:bCs/>
                <w:color w:val="000000"/>
                <w:sz w:val="18"/>
                <w:szCs w:val="18"/>
              </w:rPr>
              <w:t>GÉNERO</w:t>
            </w:r>
          </w:p>
        </w:tc>
      </w:tr>
      <w:tr w:rsidR="00E05099" w:rsidRPr="008C5C12" w:rsidTr="00682BB7">
        <w:trPr>
          <w:trHeight w:val="550"/>
          <w:jc w:val="center"/>
        </w:trPr>
        <w:tc>
          <w:tcPr>
            <w:tcW w:w="2872" w:type="dxa"/>
            <w:tcBorders>
              <w:top w:val="single" w:sz="4" w:space="0" w:color="auto"/>
              <w:left w:val="single" w:sz="4" w:space="0" w:color="auto"/>
              <w:bottom w:val="single" w:sz="4" w:space="0" w:color="auto"/>
              <w:right w:val="single" w:sz="4" w:space="0" w:color="auto"/>
            </w:tcBorders>
            <w:shd w:val="clear" w:color="000000" w:fill="FFE699"/>
            <w:vAlign w:val="center"/>
            <w:hideMark/>
          </w:tcPr>
          <w:p w:rsidR="00E05099" w:rsidRPr="00E05099" w:rsidRDefault="00E05099" w:rsidP="00E05099">
            <w:pPr>
              <w:jc w:val="center"/>
              <w:rPr>
                <w:rFonts w:ascii="Arial Narrow" w:hAnsi="Arial Narrow" w:cs="Calibri"/>
                <w:color w:val="000000"/>
                <w:sz w:val="16"/>
                <w:szCs w:val="16"/>
                <w:lang w:val="es-MX" w:eastAsia="es-MX"/>
              </w:rPr>
            </w:pPr>
            <w:r w:rsidRPr="00E05099">
              <w:rPr>
                <w:rFonts w:ascii="Arial Narrow" w:hAnsi="Arial Narrow" w:cs="Calibri"/>
                <w:color w:val="000000"/>
                <w:sz w:val="16"/>
                <w:szCs w:val="16"/>
              </w:rPr>
              <w:t xml:space="preserve">CONSEJERO (A) ELECTORAL </w:t>
            </w:r>
          </w:p>
        </w:tc>
        <w:tc>
          <w:tcPr>
            <w:tcW w:w="2760" w:type="dxa"/>
            <w:tcBorders>
              <w:top w:val="single" w:sz="4" w:space="0" w:color="auto"/>
              <w:left w:val="nil"/>
              <w:bottom w:val="single" w:sz="4" w:space="0" w:color="auto"/>
              <w:right w:val="single" w:sz="4" w:space="0" w:color="auto"/>
            </w:tcBorders>
            <w:shd w:val="clear" w:color="000000" w:fill="FFE699"/>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CAAMAL MAY DULCE CRISTINA</w:t>
            </w:r>
          </w:p>
        </w:tc>
        <w:tc>
          <w:tcPr>
            <w:tcW w:w="2678" w:type="dxa"/>
            <w:tcBorders>
              <w:top w:val="single" w:sz="4" w:space="0" w:color="auto"/>
              <w:left w:val="nil"/>
              <w:bottom w:val="single" w:sz="4" w:space="0" w:color="auto"/>
              <w:right w:val="single" w:sz="4" w:space="0" w:color="auto"/>
            </w:tcBorders>
            <w:shd w:val="clear" w:color="000000" w:fill="FFE699"/>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MUJER</w:t>
            </w:r>
          </w:p>
        </w:tc>
      </w:tr>
      <w:tr w:rsidR="00E05099" w:rsidRPr="008C5C12" w:rsidTr="00682BB7">
        <w:trPr>
          <w:trHeight w:val="422"/>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TUN HORAN NOE DANIEL</w:t>
            </w:r>
          </w:p>
        </w:tc>
        <w:tc>
          <w:tcPr>
            <w:tcW w:w="2678"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HOMBRE</w:t>
            </w:r>
          </w:p>
        </w:tc>
      </w:tr>
      <w:tr w:rsidR="00E05099" w:rsidRPr="008C5C12" w:rsidTr="00682BB7">
        <w:trPr>
          <w:trHeight w:val="415"/>
          <w:jc w:val="center"/>
        </w:trPr>
        <w:tc>
          <w:tcPr>
            <w:tcW w:w="2872" w:type="dxa"/>
            <w:tcBorders>
              <w:top w:val="nil"/>
              <w:left w:val="single" w:sz="4" w:space="0" w:color="auto"/>
              <w:bottom w:val="single" w:sz="4" w:space="0" w:color="auto"/>
              <w:right w:val="single" w:sz="4" w:space="0" w:color="auto"/>
            </w:tcBorders>
            <w:shd w:val="clear" w:color="000000" w:fill="FFFFFF"/>
            <w:vAlign w:val="center"/>
            <w:hideMark/>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 xml:space="preserve">ROMERO </w:t>
            </w:r>
            <w:proofErr w:type="spellStart"/>
            <w:r w:rsidRPr="00E05099">
              <w:rPr>
                <w:rFonts w:ascii="Arial Narrow" w:hAnsi="Arial Narrow" w:cs="Calibri"/>
                <w:color w:val="000000"/>
                <w:sz w:val="16"/>
                <w:szCs w:val="16"/>
              </w:rPr>
              <w:t>ROMERO</w:t>
            </w:r>
            <w:proofErr w:type="spellEnd"/>
            <w:r w:rsidRPr="00E05099">
              <w:rPr>
                <w:rFonts w:ascii="Arial Narrow" w:hAnsi="Arial Narrow" w:cs="Calibri"/>
                <w:color w:val="000000"/>
                <w:sz w:val="16"/>
                <w:szCs w:val="16"/>
              </w:rPr>
              <w:t xml:space="preserve"> NELLY AURORA</w:t>
            </w:r>
          </w:p>
        </w:tc>
        <w:tc>
          <w:tcPr>
            <w:tcW w:w="2678"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MUJER</w:t>
            </w:r>
          </w:p>
        </w:tc>
      </w:tr>
      <w:tr w:rsidR="00E05099" w:rsidRPr="008C5C12" w:rsidTr="00682BB7">
        <w:trPr>
          <w:trHeight w:val="420"/>
          <w:jc w:val="center"/>
        </w:trPr>
        <w:tc>
          <w:tcPr>
            <w:tcW w:w="2872" w:type="dxa"/>
            <w:tcBorders>
              <w:top w:val="nil"/>
              <w:left w:val="single" w:sz="4" w:space="0" w:color="auto"/>
              <w:bottom w:val="single" w:sz="4" w:space="0" w:color="auto"/>
              <w:right w:val="single" w:sz="4" w:space="0" w:color="auto"/>
            </w:tcBorders>
            <w:shd w:val="clear" w:color="auto" w:fill="auto"/>
            <w:vAlign w:val="bottom"/>
            <w:hideMark/>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SECRETARIO (A)</w:t>
            </w:r>
            <w:r w:rsidRPr="00E05099">
              <w:rPr>
                <w:rFonts w:ascii="Arial Narrow" w:hAnsi="Arial Narrow" w:cs="Calibri"/>
                <w:color w:val="000000"/>
                <w:sz w:val="16"/>
                <w:szCs w:val="16"/>
              </w:rPr>
              <w:br/>
              <w:t>EJECUTIVO</w:t>
            </w:r>
          </w:p>
        </w:tc>
        <w:tc>
          <w:tcPr>
            <w:tcW w:w="2760"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VAZQUEZ TORRES LUIS MANUEL</w:t>
            </w:r>
          </w:p>
        </w:tc>
        <w:tc>
          <w:tcPr>
            <w:tcW w:w="2678"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HOMBRE</w:t>
            </w:r>
          </w:p>
        </w:tc>
      </w:tr>
      <w:tr w:rsidR="00E05099" w:rsidRPr="008C5C12" w:rsidTr="00682BB7">
        <w:trPr>
          <w:trHeight w:val="540"/>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MAAS AVILA WILFRIDO</w:t>
            </w:r>
          </w:p>
        </w:tc>
        <w:tc>
          <w:tcPr>
            <w:tcW w:w="2678"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HOMBRE</w:t>
            </w:r>
          </w:p>
        </w:tc>
      </w:tr>
      <w:tr w:rsidR="00E05099" w:rsidRPr="008C5C12" w:rsidTr="00682BB7">
        <w:trPr>
          <w:trHeight w:val="416"/>
          <w:jc w:val="center"/>
        </w:trPr>
        <w:tc>
          <w:tcPr>
            <w:tcW w:w="2872" w:type="dxa"/>
            <w:tcBorders>
              <w:top w:val="nil"/>
              <w:left w:val="single" w:sz="4" w:space="0" w:color="auto"/>
              <w:bottom w:val="single" w:sz="4" w:space="0" w:color="auto"/>
              <w:right w:val="single" w:sz="4" w:space="0" w:color="auto"/>
            </w:tcBorders>
            <w:shd w:val="clear" w:color="auto" w:fill="auto"/>
            <w:vAlign w:val="center"/>
            <w:hideMark/>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lastRenderedPageBreak/>
              <w:t>SUPLENTE</w:t>
            </w:r>
          </w:p>
        </w:tc>
        <w:tc>
          <w:tcPr>
            <w:tcW w:w="2760" w:type="dxa"/>
            <w:tcBorders>
              <w:top w:val="nil"/>
              <w:left w:val="nil"/>
              <w:bottom w:val="single" w:sz="4" w:space="0" w:color="auto"/>
              <w:right w:val="single" w:sz="4" w:space="0" w:color="auto"/>
            </w:tcBorders>
            <w:shd w:val="clear" w:color="auto" w:fill="auto"/>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ROCHA LOEZA REINA GUADALUPE</w:t>
            </w:r>
          </w:p>
        </w:tc>
        <w:tc>
          <w:tcPr>
            <w:tcW w:w="2678" w:type="dxa"/>
            <w:tcBorders>
              <w:top w:val="nil"/>
              <w:left w:val="nil"/>
              <w:bottom w:val="single" w:sz="4" w:space="0" w:color="auto"/>
              <w:right w:val="single" w:sz="4" w:space="0" w:color="auto"/>
            </w:tcBorders>
            <w:shd w:val="clear" w:color="000000" w:fill="FFFFFF"/>
            <w:vAlign w:val="center"/>
          </w:tcPr>
          <w:p w:rsidR="00E05099" w:rsidRPr="00E05099" w:rsidRDefault="00E05099" w:rsidP="00E05099">
            <w:pPr>
              <w:jc w:val="center"/>
              <w:rPr>
                <w:rFonts w:ascii="Arial Narrow" w:hAnsi="Arial Narrow" w:cs="Calibri"/>
                <w:color w:val="000000"/>
                <w:sz w:val="16"/>
                <w:szCs w:val="16"/>
              </w:rPr>
            </w:pPr>
            <w:r w:rsidRPr="00E05099">
              <w:rPr>
                <w:rFonts w:ascii="Arial Narrow" w:hAnsi="Arial Narrow" w:cs="Calibri"/>
                <w:color w:val="000000"/>
                <w:sz w:val="16"/>
                <w:szCs w:val="16"/>
              </w:rPr>
              <w:t>MUJER</w:t>
            </w:r>
          </w:p>
        </w:tc>
      </w:tr>
    </w:tbl>
    <w:p w:rsidR="003B2C7E" w:rsidRPr="002867EB" w:rsidRDefault="003B2C7E" w:rsidP="00B2501F">
      <w:pPr>
        <w:spacing w:line="276" w:lineRule="auto"/>
        <w:ind w:left="-360" w:right="-234"/>
        <w:jc w:val="both"/>
        <w:rPr>
          <w:rFonts w:ascii="Arial" w:hAnsi="Arial" w:cs="Arial"/>
          <w:sz w:val="22"/>
          <w:szCs w:val="22"/>
        </w:rPr>
      </w:pPr>
    </w:p>
    <w:p w:rsidR="00E8597C" w:rsidRPr="002867EB" w:rsidRDefault="00E8597C" w:rsidP="001A1016">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2D5FC1" w:rsidRDefault="002D5FC1" w:rsidP="002D5FC1">
      <w:pPr>
        <w:spacing w:line="276" w:lineRule="auto"/>
        <w:ind w:left="-360" w:right="-234"/>
        <w:jc w:val="both"/>
        <w:rPr>
          <w:rFonts w:ascii="Arial" w:hAnsi="Arial" w:cs="Arial"/>
          <w:b/>
          <w:sz w:val="22"/>
          <w:szCs w:val="22"/>
        </w:rPr>
      </w:pPr>
    </w:p>
    <w:p w:rsidR="002D5FC1" w:rsidRPr="002D5FC1" w:rsidRDefault="002D5FC1" w:rsidP="002D5FC1">
      <w:pPr>
        <w:spacing w:line="276" w:lineRule="auto"/>
        <w:ind w:left="-360" w:right="-234"/>
        <w:jc w:val="both"/>
        <w:rPr>
          <w:rFonts w:ascii="Arial" w:hAnsi="Arial" w:cs="Arial"/>
          <w:sz w:val="22"/>
          <w:szCs w:val="22"/>
        </w:rPr>
      </w:pPr>
      <w:r>
        <w:rPr>
          <w:rFonts w:ascii="Arial" w:hAnsi="Arial" w:cs="Arial"/>
          <w:b/>
          <w:sz w:val="22"/>
          <w:szCs w:val="22"/>
        </w:rPr>
        <w:t>SEGUNDO</w:t>
      </w:r>
      <w:r w:rsidRPr="002867EB">
        <w:rPr>
          <w:rFonts w:ascii="Arial" w:hAnsi="Arial" w:cs="Arial"/>
          <w:b/>
          <w:sz w:val="22"/>
          <w:szCs w:val="22"/>
        </w:rPr>
        <w:t>.</w:t>
      </w:r>
      <w:r w:rsidRPr="002867EB">
        <w:rPr>
          <w:rFonts w:ascii="Arial" w:hAnsi="Arial" w:cs="Arial"/>
          <w:sz w:val="22"/>
          <w:szCs w:val="22"/>
        </w:rPr>
        <w:t xml:space="preserve"> </w:t>
      </w:r>
      <w:r w:rsidRPr="002867EB">
        <w:rPr>
          <w:rFonts w:ascii="Arial" w:eastAsia="SimSun" w:hAnsi="Arial" w:cs="Arial"/>
          <w:snapToGrid w:val="0"/>
          <w:sz w:val="22"/>
          <w:szCs w:val="22"/>
          <w:lang w:eastAsia="zh-CN"/>
        </w:rPr>
        <w:t>Instrúyase a la Dirección Ejecutiva de Organización Electoral y de Participación Ciudadana para que notifique copia del presente Acuerdo a</w:t>
      </w:r>
      <w:r>
        <w:rPr>
          <w:rFonts w:ascii="Arial" w:eastAsia="SimSun" w:hAnsi="Arial" w:cs="Arial"/>
          <w:snapToGrid w:val="0"/>
          <w:sz w:val="22"/>
          <w:szCs w:val="22"/>
          <w:lang w:eastAsia="zh-CN"/>
        </w:rPr>
        <w:t xml:space="preserve"> la</w:t>
      </w:r>
      <w:r w:rsidRPr="002867EB">
        <w:rPr>
          <w:rFonts w:ascii="Arial" w:eastAsia="SimSun" w:hAnsi="Arial" w:cs="Arial"/>
          <w:snapToGrid w:val="0"/>
          <w:sz w:val="22"/>
          <w:szCs w:val="22"/>
          <w:lang w:eastAsia="zh-CN"/>
        </w:rPr>
        <w:t xml:space="preserve"> ciudadan</w:t>
      </w:r>
      <w:r>
        <w:rPr>
          <w:rFonts w:ascii="Arial" w:eastAsia="SimSun" w:hAnsi="Arial" w:cs="Arial"/>
          <w:snapToGrid w:val="0"/>
          <w:sz w:val="22"/>
          <w:szCs w:val="22"/>
          <w:lang w:eastAsia="zh-CN"/>
        </w:rPr>
        <w:t>a</w:t>
      </w:r>
      <w:r w:rsidRPr="002867EB">
        <w:rPr>
          <w:rFonts w:ascii="Arial" w:hAnsi="Arial" w:cs="Arial"/>
          <w:sz w:val="22"/>
          <w:szCs w:val="22"/>
        </w:rPr>
        <w:t xml:space="preserve"> </w:t>
      </w:r>
      <w:r w:rsidRPr="002D5FC1">
        <w:rPr>
          <w:rFonts w:ascii="Arial" w:hAnsi="Arial" w:cs="Arial"/>
          <w:sz w:val="22"/>
          <w:szCs w:val="22"/>
        </w:rPr>
        <w:t xml:space="preserve">Dulce Cristina Caamal </w:t>
      </w:r>
      <w:proofErr w:type="spellStart"/>
      <w:r w:rsidRPr="002D5FC1">
        <w:rPr>
          <w:rFonts w:ascii="Arial" w:hAnsi="Arial" w:cs="Arial"/>
          <w:sz w:val="22"/>
          <w:szCs w:val="22"/>
        </w:rPr>
        <w:t>May</w:t>
      </w:r>
      <w:proofErr w:type="spellEnd"/>
      <w:r w:rsidRPr="002D5FC1">
        <w:rPr>
          <w:rFonts w:ascii="Arial" w:hAnsi="Arial" w:cs="Arial"/>
          <w:sz w:val="22"/>
          <w:szCs w:val="22"/>
        </w:rPr>
        <w:t>.</w:t>
      </w:r>
    </w:p>
    <w:p w:rsidR="00F736F0" w:rsidRPr="002867EB" w:rsidRDefault="00F736F0" w:rsidP="001A1016">
      <w:pPr>
        <w:spacing w:line="276" w:lineRule="auto"/>
        <w:ind w:left="-360" w:right="-143"/>
        <w:jc w:val="both"/>
        <w:rPr>
          <w:rFonts w:ascii="Arial" w:eastAsia="SimSun" w:hAnsi="Arial" w:cs="Arial"/>
          <w:b/>
          <w:snapToGrid w:val="0"/>
          <w:sz w:val="22"/>
          <w:szCs w:val="22"/>
          <w:highlight w:val="lightGray"/>
          <w:lang w:eastAsia="zh-CN"/>
        </w:rPr>
      </w:pPr>
    </w:p>
    <w:p w:rsidR="00F736F0" w:rsidRPr="002867EB" w:rsidRDefault="00481485" w:rsidP="001A1016">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2D5FC1" w:rsidRPr="002867EB">
        <w:rPr>
          <w:rFonts w:ascii="Arial" w:eastAsia="SimSun" w:hAnsi="Arial" w:cs="Arial"/>
          <w:snapToGrid w:val="0"/>
          <w:sz w:val="22"/>
          <w:szCs w:val="22"/>
          <w:lang w:eastAsia="zh-CN"/>
        </w:rPr>
        <w:t xml:space="preserve">Remítase copia del presente Acuerdo al Consejo Municipal de </w:t>
      </w:r>
      <w:proofErr w:type="spellStart"/>
      <w:r w:rsidR="002D5FC1">
        <w:rPr>
          <w:rFonts w:ascii="Arial" w:eastAsia="SimSun" w:hAnsi="Arial" w:cs="Arial"/>
          <w:snapToGrid w:val="0"/>
          <w:sz w:val="22"/>
          <w:szCs w:val="22"/>
          <w:lang w:eastAsia="zh-CN"/>
        </w:rPr>
        <w:t>Tekax</w:t>
      </w:r>
      <w:proofErr w:type="spellEnd"/>
      <w:r w:rsidR="002D5FC1" w:rsidRPr="002867EB">
        <w:rPr>
          <w:rFonts w:ascii="Arial" w:eastAsia="SimSun" w:hAnsi="Arial" w:cs="Arial"/>
          <w:snapToGrid w:val="0"/>
          <w:sz w:val="22"/>
          <w:szCs w:val="22"/>
          <w:lang w:val="es-ES_tradnl" w:eastAsia="zh-CN"/>
        </w:rPr>
        <w:t>, para su debido conocimiento y cumplimiento en el ámbito de sus respectivas atribuciones.</w:t>
      </w:r>
    </w:p>
    <w:p w:rsidR="004574EE" w:rsidRPr="002867EB" w:rsidRDefault="004574EE" w:rsidP="001A1016">
      <w:pPr>
        <w:spacing w:line="276" w:lineRule="auto"/>
        <w:ind w:left="-360" w:right="-234"/>
        <w:jc w:val="both"/>
        <w:rPr>
          <w:rFonts w:ascii="Arial" w:hAnsi="Arial" w:cs="Arial"/>
          <w:b/>
          <w:sz w:val="22"/>
          <w:szCs w:val="22"/>
        </w:rPr>
      </w:pPr>
    </w:p>
    <w:p w:rsidR="00D27D83" w:rsidRPr="002867EB" w:rsidRDefault="00481485" w:rsidP="001A1016">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2D5FC1" w:rsidRPr="002867EB">
        <w:rPr>
          <w:rFonts w:ascii="Arial" w:eastAsia="SimSun" w:hAnsi="Arial" w:cs="Arial"/>
          <w:sz w:val="22"/>
          <w:szCs w:val="22"/>
          <w:lang w:eastAsia="zh-CN"/>
        </w:rPr>
        <w:t>Remítase copia del presente Acuerdo al Instituto Nacional Electoral, a través de la Unidad de Vinculación con los Organismo Públicos Locales.</w:t>
      </w:r>
    </w:p>
    <w:p w:rsidR="00F736F0" w:rsidRPr="002867EB" w:rsidRDefault="00F736F0" w:rsidP="001A1016">
      <w:pPr>
        <w:spacing w:line="276" w:lineRule="auto"/>
        <w:ind w:left="-360" w:right="-234"/>
        <w:jc w:val="both"/>
        <w:rPr>
          <w:rFonts w:ascii="Arial" w:eastAsia="SimSun" w:hAnsi="Arial" w:cs="Arial"/>
          <w:b/>
          <w:snapToGrid w:val="0"/>
          <w:sz w:val="22"/>
          <w:szCs w:val="22"/>
          <w:lang w:eastAsia="zh-CN"/>
        </w:rPr>
      </w:pPr>
    </w:p>
    <w:p w:rsidR="004B4C76" w:rsidRPr="002867EB" w:rsidRDefault="00481485" w:rsidP="001A1016">
      <w:pPr>
        <w:spacing w:line="276" w:lineRule="auto"/>
        <w:ind w:left="-360" w:right="-234"/>
        <w:jc w:val="both"/>
        <w:rPr>
          <w:rFonts w:ascii="Arial" w:eastAsia="SimSun" w:hAnsi="Arial" w:cs="Arial"/>
          <w:bCs/>
          <w:sz w:val="22"/>
          <w:szCs w:val="22"/>
          <w:lang w:eastAsia="zh-CN"/>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2D5FC1" w:rsidRPr="002867EB">
        <w:rPr>
          <w:rFonts w:ascii="Arial" w:hAnsi="Arial" w:cs="Arial"/>
          <w:bCs/>
          <w:sz w:val="22"/>
          <w:szCs w:val="22"/>
        </w:rPr>
        <w:t xml:space="preserve">Remítase por medio electrónico copia del presente Acuerdo a </w:t>
      </w:r>
      <w:r w:rsidR="002D5FC1">
        <w:rPr>
          <w:rFonts w:ascii="Arial" w:hAnsi="Arial" w:cs="Arial"/>
          <w:bCs/>
          <w:sz w:val="22"/>
          <w:szCs w:val="22"/>
        </w:rPr>
        <w:t xml:space="preserve">las y </w:t>
      </w:r>
      <w:r w:rsidR="002D5FC1" w:rsidRPr="002867EB">
        <w:rPr>
          <w:rFonts w:ascii="Arial" w:hAnsi="Arial" w:cs="Arial"/>
          <w:bCs/>
          <w:sz w:val="22"/>
          <w:szCs w:val="22"/>
        </w:rPr>
        <w:t xml:space="preserve">los integrantes del Consejo General, en términos del artículo 22 párrafo 1, del </w:t>
      </w:r>
      <w:r w:rsidR="002D5FC1" w:rsidRPr="002867EB">
        <w:rPr>
          <w:rFonts w:ascii="Arial" w:hAnsi="Arial" w:cs="Arial"/>
          <w:bCs/>
          <w:i/>
          <w:sz w:val="22"/>
          <w:szCs w:val="22"/>
        </w:rPr>
        <w:t>Reglamento de Sesiones de los Consejos del Instituto Electoral y de Participación Ciudadana de Yucatán</w:t>
      </w:r>
      <w:r w:rsidR="002D5FC1" w:rsidRPr="002867EB">
        <w:rPr>
          <w:rFonts w:ascii="Arial" w:hAnsi="Arial" w:cs="Arial"/>
          <w:bCs/>
          <w:sz w:val="22"/>
          <w:szCs w:val="22"/>
        </w:rPr>
        <w:t>.</w:t>
      </w:r>
    </w:p>
    <w:p w:rsidR="006D09DE" w:rsidRPr="002867EB" w:rsidRDefault="006D09DE" w:rsidP="001A1016">
      <w:pPr>
        <w:spacing w:line="276" w:lineRule="auto"/>
        <w:ind w:left="-360" w:right="-234"/>
        <w:jc w:val="both"/>
        <w:rPr>
          <w:rFonts w:ascii="Arial" w:hAnsi="Arial" w:cs="Arial"/>
          <w:sz w:val="22"/>
          <w:szCs w:val="22"/>
        </w:rPr>
      </w:pPr>
    </w:p>
    <w:p w:rsidR="007840B0" w:rsidRPr="002D5FC1" w:rsidRDefault="00481485" w:rsidP="001A1016">
      <w:pPr>
        <w:autoSpaceDE w:val="0"/>
        <w:autoSpaceDN w:val="0"/>
        <w:adjustRightInd w:val="0"/>
        <w:spacing w:line="276" w:lineRule="auto"/>
        <w:ind w:left="-360" w:right="-234"/>
        <w:jc w:val="both"/>
        <w:rPr>
          <w:rFonts w:ascii="Arial" w:hAnsi="Arial" w:cs="Arial"/>
          <w:sz w:val="22"/>
          <w:szCs w:val="22"/>
        </w:rPr>
      </w:pPr>
      <w:r w:rsidRPr="002D5FC1">
        <w:rPr>
          <w:rFonts w:ascii="Arial" w:hAnsi="Arial" w:cs="Arial"/>
          <w:b/>
          <w:sz w:val="22"/>
          <w:szCs w:val="22"/>
        </w:rPr>
        <w:t>SEXTO</w:t>
      </w:r>
      <w:r w:rsidR="006F65C4" w:rsidRPr="002D5FC1">
        <w:rPr>
          <w:rFonts w:ascii="Arial" w:hAnsi="Arial" w:cs="Arial"/>
          <w:b/>
          <w:sz w:val="22"/>
          <w:szCs w:val="22"/>
        </w:rPr>
        <w:t>.</w:t>
      </w:r>
      <w:r w:rsidR="00EA6974" w:rsidRPr="002D5FC1">
        <w:rPr>
          <w:rFonts w:ascii="Arial" w:hAnsi="Arial" w:cs="Arial"/>
          <w:bCs/>
          <w:sz w:val="22"/>
          <w:szCs w:val="22"/>
        </w:rPr>
        <w:t xml:space="preserve"> </w:t>
      </w:r>
      <w:r w:rsidR="002D5FC1" w:rsidRPr="002D5FC1">
        <w:rPr>
          <w:rFonts w:ascii="Arial" w:hAnsi="Arial" w:cs="Arial"/>
          <w:sz w:val="22"/>
          <w:szCs w:val="22"/>
        </w:rPr>
        <w:t>Remítase copia del presente Acuerdo a las y los integrantes de la Junta General Ejecutiva, para su debido conocimiento y cumplimiento en el ámbito de sus respectivas atribuciones.</w:t>
      </w:r>
    </w:p>
    <w:p w:rsidR="006F65C4" w:rsidRPr="002867EB" w:rsidRDefault="006F65C4" w:rsidP="001A1016">
      <w:pPr>
        <w:spacing w:line="276" w:lineRule="auto"/>
        <w:ind w:left="-360" w:right="-234"/>
        <w:jc w:val="both"/>
        <w:rPr>
          <w:rFonts w:ascii="Arial" w:hAnsi="Arial" w:cs="Arial"/>
          <w:b/>
          <w:sz w:val="22"/>
          <w:szCs w:val="22"/>
        </w:rPr>
      </w:pPr>
    </w:p>
    <w:p w:rsidR="002D5FC1" w:rsidRPr="002867EB" w:rsidRDefault="00481485" w:rsidP="002D5FC1">
      <w:pPr>
        <w:pStyle w:val="Default"/>
        <w:spacing w:line="276" w:lineRule="auto"/>
        <w:ind w:left="-360" w:right="-234"/>
        <w:jc w:val="both"/>
        <w:rPr>
          <w:color w:val="auto"/>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2D5FC1" w:rsidRPr="002867EB">
        <w:rPr>
          <w:sz w:val="22"/>
          <w:szCs w:val="22"/>
        </w:rPr>
        <w:t xml:space="preserve">Publíquese el presente Acuerdo en los Estrados del Instituto y en el portal institucional </w:t>
      </w:r>
      <w:r w:rsidR="002D5FC1" w:rsidRPr="002867EB">
        <w:rPr>
          <w:b/>
          <w:i/>
          <w:sz w:val="22"/>
          <w:szCs w:val="22"/>
          <w:u w:val="single"/>
        </w:rPr>
        <w:t>www.iepac.mx</w:t>
      </w:r>
      <w:r w:rsidR="002D5FC1" w:rsidRPr="002867EB">
        <w:rPr>
          <w:sz w:val="22"/>
          <w:szCs w:val="22"/>
        </w:rPr>
        <w:t>, para los efectos legales a que haya lugar.</w:t>
      </w:r>
    </w:p>
    <w:p w:rsidR="000471FC" w:rsidRPr="002867EB" w:rsidRDefault="000471FC" w:rsidP="001A1016">
      <w:pPr>
        <w:pStyle w:val="Default"/>
        <w:spacing w:line="276" w:lineRule="auto"/>
        <w:ind w:left="-360" w:right="-234"/>
        <w:jc w:val="both"/>
        <w:rPr>
          <w:sz w:val="22"/>
          <w:szCs w:val="22"/>
        </w:rPr>
      </w:pPr>
    </w:p>
    <w:p w:rsidR="00675C42" w:rsidRDefault="00675C42" w:rsidP="001A1016">
      <w:pPr>
        <w:pStyle w:val="NormalWeb"/>
        <w:spacing w:before="0" w:beforeAutospacing="0" w:after="0" w:afterAutospacing="0" w:line="276" w:lineRule="auto"/>
        <w:ind w:left="-360" w:right="-285" w:firstLine="1068"/>
        <w:jc w:val="both"/>
        <w:rPr>
          <w:rFonts w:ascii="Arial" w:hAnsi="Arial" w:cs="Arial"/>
          <w:bCs/>
          <w:sz w:val="22"/>
          <w:szCs w:val="22"/>
        </w:rPr>
      </w:pPr>
      <w:r w:rsidRPr="002867EB">
        <w:rPr>
          <w:rFonts w:ascii="Arial" w:hAnsi="Arial" w:cs="Arial"/>
          <w:bCs/>
          <w:sz w:val="22"/>
          <w:szCs w:val="22"/>
        </w:rPr>
        <w:t xml:space="preserve">Este </w:t>
      </w:r>
      <w:r w:rsidR="003274FC" w:rsidRPr="002867EB">
        <w:rPr>
          <w:rFonts w:ascii="Arial" w:hAnsi="Arial" w:cs="Arial"/>
          <w:bCs/>
          <w:sz w:val="22"/>
          <w:szCs w:val="22"/>
        </w:rPr>
        <w:t>Acuerdo fue</w:t>
      </w:r>
      <w:r w:rsidR="00083E61">
        <w:rPr>
          <w:rFonts w:ascii="Arial" w:hAnsi="Arial" w:cs="Arial"/>
          <w:bCs/>
          <w:sz w:val="22"/>
          <w:szCs w:val="22"/>
        </w:rPr>
        <w:t xml:space="preserve"> aprobado </w:t>
      </w:r>
      <w:r w:rsidR="003274FC" w:rsidRPr="002867EB">
        <w:rPr>
          <w:rFonts w:ascii="Arial" w:hAnsi="Arial" w:cs="Arial"/>
          <w:bCs/>
          <w:sz w:val="22"/>
          <w:szCs w:val="22"/>
        </w:rPr>
        <w:t>en Sesión</w:t>
      </w:r>
      <w:r w:rsidR="00F53E75">
        <w:rPr>
          <w:rFonts w:ascii="Arial" w:hAnsi="Arial" w:cs="Arial"/>
          <w:bCs/>
          <w:sz w:val="22"/>
          <w:szCs w:val="22"/>
        </w:rPr>
        <w:t xml:space="preserve"> </w:t>
      </w:r>
      <w:r w:rsidR="00244CE2">
        <w:rPr>
          <w:rFonts w:ascii="Arial" w:hAnsi="Arial" w:cs="Arial"/>
          <w:bCs/>
          <w:sz w:val="22"/>
          <w:szCs w:val="22"/>
        </w:rPr>
        <w:t xml:space="preserve">Extraordinaria Urgente </w:t>
      </w:r>
      <w:r w:rsidRPr="002867EB">
        <w:rPr>
          <w:rFonts w:ascii="Arial" w:hAnsi="Arial" w:cs="Arial"/>
          <w:bCs/>
          <w:sz w:val="22"/>
          <w:szCs w:val="22"/>
        </w:rPr>
        <w:t>del Consejo General celebrada el día</w:t>
      </w:r>
      <w:r w:rsidR="00F53E75">
        <w:rPr>
          <w:rFonts w:ascii="Arial" w:hAnsi="Arial" w:cs="Arial"/>
          <w:bCs/>
          <w:sz w:val="22"/>
          <w:szCs w:val="22"/>
        </w:rPr>
        <w:t xml:space="preserve"> </w:t>
      </w:r>
      <w:r w:rsidR="00244CE2">
        <w:rPr>
          <w:rFonts w:ascii="Arial" w:hAnsi="Arial" w:cs="Arial"/>
          <w:bCs/>
          <w:sz w:val="22"/>
          <w:szCs w:val="22"/>
        </w:rPr>
        <w:t xml:space="preserve">tres </w:t>
      </w:r>
      <w:r w:rsidR="004E7883">
        <w:rPr>
          <w:rFonts w:ascii="Arial" w:hAnsi="Arial" w:cs="Arial"/>
          <w:bCs/>
          <w:sz w:val="22"/>
          <w:szCs w:val="22"/>
        </w:rPr>
        <w:t xml:space="preserve"> </w:t>
      </w:r>
      <w:r w:rsidR="004B5E73">
        <w:rPr>
          <w:rFonts w:ascii="Arial" w:hAnsi="Arial" w:cs="Arial"/>
          <w:bCs/>
          <w:sz w:val="22"/>
          <w:szCs w:val="22"/>
        </w:rPr>
        <w:t xml:space="preserve">de </w:t>
      </w:r>
      <w:r w:rsidR="005B6567">
        <w:rPr>
          <w:rFonts w:ascii="Arial" w:hAnsi="Arial" w:cs="Arial"/>
          <w:bCs/>
          <w:sz w:val="22"/>
          <w:szCs w:val="22"/>
        </w:rPr>
        <w:t>jul</w:t>
      </w:r>
      <w:r w:rsidR="008C5C12">
        <w:rPr>
          <w:rFonts w:ascii="Arial" w:hAnsi="Arial" w:cs="Arial"/>
          <w:bCs/>
          <w:sz w:val="22"/>
          <w:szCs w:val="22"/>
        </w:rPr>
        <w:t>io</w:t>
      </w:r>
      <w:r w:rsidR="00C56402">
        <w:rPr>
          <w:rFonts w:ascii="Arial" w:hAnsi="Arial" w:cs="Arial"/>
          <w:bCs/>
          <w:sz w:val="22"/>
          <w:szCs w:val="22"/>
        </w:rPr>
        <w:t xml:space="preserve"> </w:t>
      </w:r>
      <w:r w:rsidRPr="002867EB">
        <w:rPr>
          <w:rFonts w:ascii="Arial" w:hAnsi="Arial" w:cs="Arial"/>
          <w:bCs/>
          <w:sz w:val="22"/>
          <w:szCs w:val="22"/>
        </w:rPr>
        <w:t xml:space="preserve">de dos mil </w:t>
      </w:r>
      <w:r w:rsidR="00C452D9" w:rsidRPr="002867EB">
        <w:rPr>
          <w:rFonts w:ascii="Arial" w:hAnsi="Arial" w:cs="Arial"/>
          <w:bCs/>
          <w:sz w:val="22"/>
          <w:szCs w:val="22"/>
        </w:rPr>
        <w:t>dieciocho</w:t>
      </w:r>
      <w:r w:rsidRPr="002867EB">
        <w:rPr>
          <w:rFonts w:ascii="Arial" w:hAnsi="Arial" w:cs="Arial"/>
          <w:bCs/>
          <w:sz w:val="22"/>
          <w:szCs w:val="22"/>
        </w:rPr>
        <w:t xml:space="preserve">, por </w:t>
      </w:r>
      <w:r w:rsidR="00244CE2">
        <w:rPr>
          <w:rFonts w:ascii="Arial" w:hAnsi="Arial" w:cs="Arial"/>
          <w:bCs/>
          <w:sz w:val="22"/>
          <w:szCs w:val="22"/>
        </w:rPr>
        <w:t xml:space="preserve">Unanimidad </w:t>
      </w:r>
      <w:r w:rsidRPr="002867EB">
        <w:rPr>
          <w:rFonts w:ascii="Arial" w:hAnsi="Arial" w:cs="Arial"/>
          <w:bCs/>
          <w:sz w:val="22"/>
          <w:szCs w:val="22"/>
        </w:rPr>
        <w:t>de votos de los C.C. Consejeros y las Consejeras Electorales</w:t>
      </w:r>
      <w:r w:rsidR="002867EB" w:rsidRPr="002867EB">
        <w:rPr>
          <w:rFonts w:ascii="Arial" w:hAnsi="Arial" w:cs="Arial"/>
          <w:bCs/>
          <w:sz w:val="22"/>
          <w:szCs w:val="22"/>
        </w:rPr>
        <w:t xml:space="preserve"> presentes</w:t>
      </w:r>
      <w:r w:rsidRPr="002867EB">
        <w:rPr>
          <w:rFonts w:ascii="Arial" w:hAnsi="Arial" w:cs="Arial"/>
          <w:bCs/>
          <w:sz w:val="22"/>
          <w:szCs w:val="22"/>
        </w:rPr>
        <w:t xml:space="preserve">, Licenciado José Antonio Gabriel Martínez Magaña, Maestro Antonio Ignacio Matute González, </w:t>
      </w:r>
      <w:r w:rsidR="00C56402">
        <w:rPr>
          <w:rFonts w:ascii="Arial" w:hAnsi="Arial" w:cs="Arial"/>
          <w:bCs/>
          <w:sz w:val="22"/>
          <w:szCs w:val="22"/>
        </w:rPr>
        <w:t xml:space="preserve">Doctor Jorge Miguel Valladares Sánchez, </w:t>
      </w:r>
      <w:r w:rsidR="002B0E2B" w:rsidRPr="002867EB">
        <w:rPr>
          <w:rFonts w:ascii="Arial" w:hAnsi="Arial" w:cs="Arial"/>
          <w:bCs/>
          <w:sz w:val="22"/>
          <w:szCs w:val="22"/>
        </w:rPr>
        <w:t>Maestra Delta Alejandra Pacheco Puente, María del Mar Trejo Pérez, Licenciado Jorg</w:t>
      </w:r>
      <w:r w:rsidR="00BD139E" w:rsidRPr="002867EB">
        <w:rPr>
          <w:rFonts w:ascii="Arial" w:hAnsi="Arial" w:cs="Arial"/>
          <w:bCs/>
          <w:sz w:val="22"/>
          <w:szCs w:val="22"/>
        </w:rPr>
        <w:t>e</w:t>
      </w:r>
      <w:r w:rsidR="002B0E2B" w:rsidRPr="002867EB">
        <w:rPr>
          <w:rFonts w:ascii="Arial" w:hAnsi="Arial" w:cs="Arial"/>
          <w:bCs/>
          <w:sz w:val="22"/>
          <w:szCs w:val="22"/>
        </w:rPr>
        <w:t xml:space="preserve"> Antonio Vallejo Buenfil</w:t>
      </w:r>
      <w:r w:rsidR="00AC4EAE">
        <w:rPr>
          <w:rFonts w:ascii="Arial" w:hAnsi="Arial" w:cs="Arial"/>
          <w:bCs/>
          <w:sz w:val="22"/>
          <w:szCs w:val="22"/>
        </w:rPr>
        <w:t xml:space="preserve">, </w:t>
      </w:r>
      <w:r w:rsidRPr="002867EB">
        <w:rPr>
          <w:rFonts w:ascii="Arial" w:hAnsi="Arial" w:cs="Arial"/>
          <w:bCs/>
          <w:sz w:val="22"/>
          <w:szCs w:val="22"/>
        </w:rPr>
        <w:t>y la Consejera Presidente, Maestra María de Lourdes Rosas Moya.</w:t>
      </w:r>
    </w:p>
    <w:p w:rsidR="00A617C3" w:rsidRDefault="00A617C3"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8C1581" w:rsidRDefault="008C1581" w:rsidP="001A1016">
      <w:pPr>
        <w:pStyle w:val="NormalWeb"/>
        <w:spacing w:before="0" w:beforeAutospacing="0" w:after="0" w:afterAutospacing="0" w:line="276" w:lineRule="auto"/>
        <w:ind w:left="-360" w:right="-285" w:firstLine="1068"/>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9D3007">
            <w:pPr>
              <w:spacing w:line="276" w:lineRule="auto"/>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940B31">
            <w:pPr>
              <w:spacing w:line="276" w:lineRule="auto"/>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4B5E73">
      <w:headerReference w:type="even" r:id="rId8"/>
      <w:headerReference w:type="default" r:id="rId9"/>
      <w:footerReference w:type="even" r:id="rId10"/>
      <w:footerReference w:type="default" r:id="rId11"/>
      <w:headerReference w:type="first" r:id="rId12"/>
      <w:footerReference w:type="first" r:id="rId13"/>
      <w:pgSz w:w="12240" w:h="15840" w:code="1"/>
      <w:pgMar w:top="993" w:right="1467" w:bottom="1276" w:left="1560"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A6" w:rsidRPr="0075371B" w:rsidRDefault="000A71A6">
      <w:pPr>
        <w:rPr>
          <w:sz w:val="23"/>
          <w:szCs w:val="23"/>
        </w:rPr>
      </w:pPr>
      <w:r w:rsidRPr="0075371B">
        <w:rPr>
          <w:sz w:val="23"/>
          <w:szCs w:val="23"/>
        </w:rPr>
        <w:separator/>
      </w:r>
    </w:p>
  </w:endnote>
  <w:endnote w:type="continuationSeparator" w:id="0">
    <w:p w:rsidR="000A71A6" w:rsidRPr="0075371B" w:rsidRDefault="000A71A6">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345006"/>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375D0F">
          <w:rPr>
            <w:noProof/>
          </w:rPr>
          <w:t>8</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A6" w:rsidRPr="0075371B" w:rsidRDefault="000A71A6">
      <w:pPr>
        <w:rPr>
          <w:sz w:val="23"/>
          <w:szCs w:val="23"/>
        </w:rPr>
      </w:pPr>
      <w:r w:rsidRPr="0075371B">
        <w:rPr>
          <w:sz w:val="23"/>
          <w:szCs w:val="23"/>
        </w:rPr>
        <w:separator/>
      </w:r>
    </w:p>
  </w:footnote>
  <w:footnote w:type="continuationSeparator" w:id="0">
    <w:p w:rsidR="000A71A6" w:rsidRPr="0075371B" w:rsidRDefault="000A71A6">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3E61"/>
    <w:rsid w:val="0008503B"/>
    <w:rsid w:val="00086D76"/>
    <w:rsid w:val="000873B4"/>
    <w:rsid w:val="00087AE1"/>
    <w:rsid w:val="00087D15"/>
    <w:rsid w:val="0009460D"/>
    <w:rsid w:val="00096C43"/>
    <w:rsid w:val="000979DB"/>
    <w:rsid w:val="000A0AA0"/>
    <w:rsid w:val="000A1D4D"/>
    <w:rsid w:val="000A4953"/>
    <w:rsid w:val="000A51F2"/>
    <w:rsid w:val="000A6EE5"/>
    <w:rsid w:val="000A71A6"/>
    <w:rsid w:val="000B4DB9"/>
    <w:rsid w:val="000B588D"/>
    <w:rsid w:val="000B62BC"/>
    <w:rsid w:val="000B641A"/>
    <w:rsid w:val="000B6EEE"/>
    <w:rsid w:val="000C0186"/>
    <w:rsid w:val="000C01C6"/>
    <w:rsid w:val="000C2D05"/>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1016"/>
    <w:rsid w:val="001A458F"/>
    <w:rsid w:val="001A62D4"/>
    <w:rsid w:val="001B0506"/>
    <w:rsid w:val="001B0DF9"/>
    <w:rsid w:val="001B1421"/>
    <w:rsid w:val="001B5899"/>
    <w:rsid w:val="001B7AC6"/>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1F718A"/>
    <w:rsid w:val="0020095A"/>
    <w:rsid w:val="002109A9"/>
    <w:rsid w:val="0022014C"/>
    <w:rsid w:val="00221E82"/>
    <w:rsid w:val="002233D8"/>
    <w:rsid w:val="0022361B"/>
    <w:rsid w:val="00225A62"/>
    <w:rsid w:val="00226542"/>
    <w:rsid w:val="00227B13"/>
    <w:rsid w:val="00230650"/>
    <w:rsid w:val="0023288A"/>
    <w:rsid w:val="002337EC"/>
    <w:rsid w:val="00233F86"/>
    <w:rsid w:val="002378B6"/>
    <w:rsid w:val="00240AC0"/>
    <w:rsid w:val="0024466C"/>
    <w:rsid w:val="00244CE2"/>
    <w:rsid w:val="00246C7E"/>
    <w:rsid w:val="00250CF0"/>
    <w:rsid w:val="00253FD5"/>
    <w:rsid w:val="00260893"/>
    <w:rsid w:val="0027124D"/>
    <w:rsid w:val="002724E1"/>
    <w:rsid w:val="0027336D"/>
    <w:rsid w:val="002748C5"/>
    <w:rsid w:val="00276B82"/>
    <w:rsid w:val="00280D4B"/>
    <w:rsid w:val="00285532"/>
    <w:rsid w:val="002855D4"/>
    <w:rsid w:val="002867EB"/>
    <w:rsid w:val="00286C46"/>
    <w:rsid w:val="00291C48"/>
    <w:rsid w:val="00294281"/>
    <w:rsid w:val="002A278D"/>
    <w:rsid w:val="002A529F"/>
    <w:rsid w:val="002A5ADB"/>
    <w:rsid w:val="002A6B83"/>
    <w:rsid w:val="002A7744"/>
    <w:rsid w:val="002B0DF8"/>
    <w:rsid w:val="002B0E2B"/>
    <w:rsid w:val="002B1E72"/>
    <w:rsid w:val="002B2D26"/>
    <w:rsid w:val="002B35C2"/>
    <w:rsid w:val="002B4B2C"/>
    <w:rsid w:val="002B4F4C"/>
    <w:rsid w:val="002C136E"/>
    <w:rsid w:val="002C320A"/>
    <w:rsid w:val="002D07D0"/>
    <w:rsid w:val="002D0888"/>
    <w:rsid w:val="002D1B85"/>
    <w:rsid w:val="002D1ECD"/>
    <w:rsid w:val="002D27A1"/>
    <w:rsid w:val="002D2900"/>
    <w:rsid w:val="002D2DD2"/>
    <w:rsid w:val="002D4500"/>
    <w:rsid w:val="002D4E1A"/>
    <w:rsid w:val="002D5EBE"/>
    <w:rsid w:val="002D5FC1"/>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5D0F"/>
    <w:rsid w:val="00376A50"/>
    <w:rsid w:val="00377002"/>
    <w:rsid w:val="003776BF"/>
    <w:rsid w:val="003779A0"/>
    <w:rsid w:val="00377E0C"/>
    <w:rsid w:val="0038093A"/>
    <w:rsid w:val="003836A4"/>
    <w:rsid w:val="003844A0"/>
    <w:rsid w:val="0038541C"/>
    <w:rsid w:val="003871FF"/>
    <w:rsid w:val="0038729F"/>
    <w:rsid w:val="00394485"/>
    <w:rsid w:val="00396EB3"/>
    <w:rsid w:val="003971E0"/>
    <w:rsid w:val="00397641"/>
    <w:rsid w:val="003A0CE7"/>
    <w:rsid w:val="003B0303"/>
    <w:rsid w:val="003B2C7E"/>
    <w:rsid w:val="003B5518"/>
    <w:rsid w:val="003C08BB"/>
    <w:rsid w:val="003C33AD"/>
    <w:rsid w:val="003C3955"/>
    <w:rsid w:val="003C514E"/>
    <w:rsid w:val="003C52EC"/>
    <w:rsid w:val="003D199D"/>
    <w:rsid w:val="003D32AE"/>
    <w:rsid w:val="003D5BDC"/>
    <w:rsid w:val="003E15D1"/>
    <w:rsid w:val="003E2D65"/>
    <w:rsid w:val="003E361A"/>
    <w:rsid w:val="003E5F44"/>
    <w:rsid w:val="003E6766"/>
    <w:rsid w:val="003F110B"/>
    <w:rsid w:val="003F20B2"/>
    <w:rsid w:val="003F3D49"/>
    <w:rsid w:val="003F5915"/>
    <w:rsid w:val="003F775A"/>
    <w:rsid w:val="003F788C"/>
    <w:rsid w:val="00405E21"/>
    <w:rsid w:val="00411ABD"/>
    <w:rsid w:val="00411F7B"/>
    <w:rsid w:val="00415D49"/>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0456"/>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B5E73"/>
    <w:rsid w:val="004C2D14"/>
    <w:rsid w:val="004C373D"/>
    <w:rsid w:val="004C6FE1"/>
    <w:rsid w:val="004C765A"/>
    <w:rsid w:val="004D0838"/>
    <w:rsid w:val="004D4179"/>
    <w:rsid w:val="004D4BEF"/>
    <w:rsid w:val="004D4C97"/>
    <w:rsid w:val="004D4CB9"/>
    <w:rsid w:val="004D6222"/>
    <w:rsid w:val="004E0200"/>
    <w:rsid w:val="004E283B"/>
    <w:rsid w:val="004E72CB"/>
    <w:rsid w:val="004E7883"/>
    <w:rsid w:val="004F1FDA"/>
    <w:rsid w:val="004F2D83"/>
    <w:rsid w:val="004F48F2"/>
    <w:rsid w:val="004F4C75"/>
    <w:rsid w:val="005021A6"/>
    <w:rsid w:val="0050242B"/>
    <w:rsid w:val="00513C27"/>
    <w:rsid w:val="005143E9"/>
    <w:rsid w:val="00516573"/>
    <w:rsid w:val="00517D33"/>
    <w:rsid w:val="00527B03"/>
    <w:rsid w:val="00527E43"/>
    <w:rsid w:val="00530F64"/>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845AA"/>
    <w:rsid w:val="00587650"/>
    <w:rsid w:val="005877F7"/>
    <w:rsid w:val="00590337"/>
    <w:rsid w:val="00591AF0"/>
    <w:rsid w:val="005925B2"/>
    <w:rsid w:val="005956FC"/>
    <w:rsid w:val="005A0D43"/>
    <w:rsid w:val="005A4EC3"/>
    <w:rsid w:val="005A5989"/>
    <w:rsid w:val="005A6193"/>
    <w:rsid w:val="005A6944"/>
    <w:rsid w:val="005B0A26"/>
    <w:rsid w:val="005B2830"/>
    <w:rsid w:val="005B44E2"/>
    <w:rsid w:val="005B6567"/>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470F"/>
    <w:rsid w:val="00635C85"/>
    <w:rsid w:val="00641617"/>
    <w:rsid w:val="0064170D"/>
    <w:rsid w:val="006464BE"/>
    <w:rsid w:val="00647F3C"/>
    <w:rsid w:val="00653927"/>
    <w:rsid w:val="00660958"/>
    <w:rsid w:val="00660A93"/>
    <w:rsid w:val="0066293C"/>
    <w:rsid w:val="00666D5B"/>
    <w:rsid w:val="0067148D"/>
    <w:rsid w:val="006715CE"/>
    <w:rsid w:val="00671699"/>
    <w:rsid w:val="00672F51"/>
    <w:rsid w:val="00674617"/>
    <w:rsid w:val="006756F2"/>
    <w:rsid w:val="00675C42"/>
    <w:rsid w:val="006760A3"/>
    <w:rsid w:val="006760ED"/>
    <w:rsid w:val="006767D5"/>
    <w:rsid w:val="00676FD7"/>
    <w:rsid w:val="00680D4E"/>
    <w:rsid w:val="006820F7"/>
    <w:rsid w:val="00682BB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F22E6"/>
    <w:rsid w:val="006F3033"/>
    <w:rsid w:val="006F65C4"/>
    <w:rsid w:val="00700387"/>
    <w:rsid w:val="007038FC"/>
    <w:rsid w:val="00705194"/>
    <w:rsid w:val="00706657"/>
    <w:rsid w:val="007102C5"/>
    <w:rsid w:val="0071201C"/>
    <w:rsid w:val="00712731"/>
    <w:rsid w:val="00713CBA"/>
    <w:rsid w:val="00716A0B"/>
    <w:rsid w:val="007242F7"/>
    <w:rsid w:val="0072792D"/>
    <w:rsid w:val="0073742E"/>
    <w:rsid w:val="0074221C"/>
    <w:rsid w:val="007442DA"/>
    <w:rsid w:val="007455AE"/>
    <w:rsid w:val="00745E16"/>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1F9E"/>
    <w:rsid w:val="008135B6"/>
    <w:rsid w:val="00830162"/>
    <w:rsid w:val="008324BE"/>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1ED3"/>
    <w:rsid w:val="00874048"/>
    <w:rsid w:val="00875059"/>
    <w:rsid w:val="0087752C"/>
    <w:rsid w:val="00880715"/>
    <w:rsid w:val="00881B7F"/>
    <w:rsid w:val="00886644"/>
    <w:rsid w:val="008878DD"/>
    <w:rsid w:val="00894B1D"/>
    <w:rsid w:val="0089589F"/>
    <w:rsid w:val="008A0B5D"/>
    <w:rsid w:val="008A3D25"/>
    <w:rsid w:val="008A4752"/>
    <w:rsid w:val="008A51F9"/>
    <w:rsid w:val="008A6AD7"/>
    <w:rsid w:val="008A7B31"/>
    <w:rsid w:val="008B16C4"/>
    <w:rsid w:val="008B3068"/>
    <w:rsid w:val="008B358C"/>
    <w:rsid w:val="008B5FB8"/>
    <w:rsid w:val="008B75C6"/>
    <w:rsid w:val="008B79C9"/>
    <w:rsid w:val="008B7C0E"/>
    <w:rsid w:val="008C075D"/>
    <w:rsid w:val="008C1035"/>
    <w:rsid w:val="008C1581"/>
    <w:rsid w:val="008C167C"/>
    <w:rsid w:val="008C5C12"/>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618"/>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69E5"/>
    <w:rsid w:val="009A1659"/>
    <w:rsid w:val="009A1EFB"/>
    <w:rsid w:val="009A2366"/>
    <w:rsid w:val="009A474D"/>
    <w:rsid w:val="009A5885"/>
    <w:rsid w:val="009A7416"/>
    <w:rsid w:val="009B299F"/>
    <w:rsid w:val="009B497C"/>
    <w:rsid w:val="009C0477"/>
    <w:rsid w:val="009C1CFC"/>
    <w:rsid w:val="009C55B4"/>
    <w:rsid w:val="009C6E13"/>
    <w:rsid w:val="009D04EB"/>
    <w:rsid w:val="009D3007"/>
    <w:rsid w:val="009D575E"/>
    <w:rsid w:val="009D5F89"/>
    <w:rsid w:val="009E04DA"/>
    <w:rsid w:val="009E15A9"/>
    <w:rsid w:val="009E37BC"/>
    <w:rsid w:val="009E54A8"/>
    <w:rsid w:val="009E69C4"/>
    <w:rsid w:val="009F436D"/>
    <w:rsid w:val="009F4E14"/>
    <w:rsid w:val="009F7921"/>
    <w:rsid w:val="00A00A7D"/>
    <w:rsid w:val="00A011DE"/>
    <w:rsid w:val="00A020F9"/>
    <w:rsid w:val="00A0226A"/>
    <w:rsid w:val="00A02DB3"/>
    <w:rsid w:val="00A04F3C"/>
    <w:rsid w:val="00A06E50"/>
    <w:rsid w:val="00A077D7"/>
    <w:rsid w:val="00A10A1B"/>
    <w:rsid w:val="00A11D22"/>
    <w:rsid w:val="00A1748D"/>
    <w:rsid w:val="00A230D3"/>
    <w:rsid w:val="00A23560"/>
    <w:rsid w:val="00A25BFB"/>
    <w:rsid w:val="00A277DA"/>
    <w:rsid w:val="00A32B03"/>
    <w:rsid w:val="00A34DDC"/>
    <w:rsid w:val="00A35B4F"/>
    <w:rsid w:val="00A40010"/>
    <w:rsid w:val="00A40E68"/>
    <w:rsid w:val="00A43300"/>
    <w:rsid w:val="00A43DBF"/>
    <w:rsid w:val="00A45214"/>
    <w:rsid w:val="00A505BD"/>
    <w:rsid w:val="00A5083B"/>
    <w:rsid w:val="00A53C62"/>
    <w:rsid w:val="00A53DAE"/>
    <w:rsid w:val="00A54473"/>
    <w:rsid w:val="00A5696A"/>
    <w:rsid w:val="00A6060F"/>
    <w:rsid w:val="00A60931"/>
    <w:rsid w:val="00A609D6"/>
    <w:rsid w:val="00A617C3"/>
    <w:rsid w:val="00A63C7B"/>
    <w:rsid w:val="00A642E9"/>
    <w:rsid w:val="00A64736"/>
    <w:rsid w:val="00A66013"/>
    <w:rsid w:val="00A66577"/>
    <w:rsid w:val="00A7125D"/>
    <w:rsid w:val="00A7177C"/>
    <w:rsid w:val="00A72571"/>
    <w:rsid w:val="00A73282"/>
    <w:rsid w:val="00A73722"/>
    <w:rsid w:val="00A737B6"/>
    <w:rsid w:val="00A750F3"/>
    <w:rsid w:val="00A80D6A"/>
    <w:rsid w:val="00A81C2B"/>
    <w:rsid w:val="00A832AD"/>
    <w:rsid w:val="00A90087"/>
    <w:rsid w:val="00A91F5D"/>
    <w:rsid w:val="00A940EE"/>
    <w:rsid w:val="00A94F4A"/>
    <w:rsid w:val="00A94FAE"/>
    <w:rsid w:val="00A95C07"/>
    <w:rsid w:val="00AA4137"/>
    <w:rsid w:val="00AA5A4E"/>
    <w:rsid w:val="00AB0328"/>
    <w:rsid w:val="00AB1435"/>
    <w:rsid w:val="00AB317C"/>
    <w:rsid w:val="00AB62E5"/>
    <w:rsid w:val="00AC00EB"/>
    <w:rsid w:val="00AC4228"/>
    <w:rsid w:val="00AC4EAE"/>
    <w:rsid w:val="00AC6E98"/>
    <w:rsid w:val="00AC7B63"/>
    <w:rsid w:val="00AD2276"/>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572CC"/>
    <w:rsid w:val="00B60DAF"/>
    <w:rsid w:val="00B624AF"/>
    <w:rsid w:val="00B64C4A"/>
    <w:rsid w:val="00B64C50"/>
    <w:rsid w:val="00B65A07"/>
    <w:rsid w:val="00B66B06"/>
    <w:rsid w:val="00B66BF2"/>
    <w:rsid w:val="00B672D3"/>
    <w:rsid w:val="00B70D4A"/>
    <w:rsid w:val="00B74A2E"/>
    <w:rsid w:val="00B75801"/>
    <w:rsid w:val="00B77EA1"/>
    <w:rsid w:val="00B82146"/>
    <w:rsid w:val="00B82982"/>
    <w:rsid w:val="00B8372D"/>
    <w:rsid w:val="00B84E7A"/>
    <w:rsid w:val="00B869A8"/>
    <w:rsid w:val="00B8756C"/>
    <w:rsid w:val="00B9170F"/>
    <w:rsid w:val="00B9447E"/>
    <w:rsid w:val="00B96C17"/>
    <w:rsid w:val="00BA469F"/>
    <w:rsid w:val="00BA6817"/>
    <w:rsid w:val="00BA753F"/>
    <w:rsid w:val="00BB0559"/>
    <w:rsid w:val="00BB3668"/>
    <w:rsid w:val="00BB4428"/>
    <w:rsid w:val="00BB4A01"/>
    <w:rsid w:val="00BC00AC"/>
    <w:rsid w:val="00BC0B5D"/>
    <w:rsid w:val="00BC225D"/>
    <w:rsid w:val="00BD139E"/>
    <w:rsid w:val="00BD2C65"/>
    <w:rsid w:val="00BD3257"/>
    <w:rsid w:val="00BD3F44"/>
    <w:rsid w:val="00BD6E24"/>
    <w:rsid w:val="00BD6E67"/>
    <w:rsid w:val="00BE204E"/>
    <w:rsid w:val="00BE5487"/>
    <w:rsid w:val="00BE5904"/>
    <w:rsid w:val="00BE7304"/>
    <w:rsid w:val="00BF1662"/>
    <w:rsid w:val="00BF2C63"/>
    <w:rsid w:val="00BF4E90"/>
    <w:rsid w:val="00BF57C9"/>
    <w:rsid w:val="00BF680D"/>
    <w:rsid w:val="00BF6BBA"/>
    <w:rsid w:val="00C038E7"/>
    <w:rsid w:val="00C04048"/>
    <w:rsid w:val="00C05560"/>
    <w:rsid w:val="00C06200"/>
    <w:rsid w:val="00C0654D"/>
    <w:rsid w:val="00C06A82"/>
    <w:rsid w:val="00C11710"/>
    <w:rsid w:val="00C1309F"/>
    <w:rsid w:val="00C136ED"/>
    <w:rsid w:val="00C14DE4"/>
    <w:rsid w:val="00C14FD2"/>
    <w:rsid w:val="00C15952"/>
    <w:rsid w:val="00C211D7"/>
    <w:rsid w:val="00C25941"/>
    <w:rsid w:val="00C264D4"/>
    <w:rsid w:val="00C32531"/>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2A91"/>
    <w:rsid w:val="00D230B4"/>
    <w:rsid w:val="00D23910"/>
    <w:rsid w:val="00D24624"/>
    <w:rsid w:val="00D2492D"/>
    <w:rsid w:val="00D27BCA"/>
    <w:rsid w:val="00D27D83"/>
    <w:rsid w:val="00D34E18"/>
    <w:rsid w:val="00D44548"/>
    <w:rsid w:val="00D4649C"/>
    <w:rsid w:val="00D505AB"/>
    <w:rsid w:val="00D50911"/>
    <w:rsid w:val="00D530B1"/>
    <w:rsid w:val="00D56620"/>
    <w:rsid w:val="00D56FC8"/>
    <w:rsid w:val="00D63B47"/>
    <w:rsid w:val="00D63B75"/>
    <w:rsid w:val="00D6475C"/>
    <w:rsid w:val="00D66F8F"/>
    <w:rsid w:val="00D70DB2"/>
    <w:rsid w:val="00D71F2E"/>
    <w:rsid w:val="00D743A2"/>
    <w:rsid w:val="00D749A9"/>
    <w:rsid w:val="00D74FA4"/>
    <w:rsid w:val="00D75147"/>
    <w:rsid w:val="00D76802"/>
    <w:rsid w:val="00D77CF4"/>
    <w:rsid w:val="00D83B14"/>
    <w:rsid w:val="00D85158"/>
    <w:rsid w:val="00D86D98"/>
    <w:rsid w:val="00D87AA7"/>
    <w:rsid w:val="00D930E1"/>
    <w:rsid w:val="00D953F7"/>
    <w:rsid w:val="00DA574A"/>
    <w:rsid w:val="00DA79A3"/>
    <w:rsid w:val="00DB0280"/>
    <w:rsid w:val="00DB1743"/>
    <w:rsid w:val="00DB52E1"/>
    <w:rsid w:val="00DC1AC5"/>
    <w:rsid w:val="00DC1FB4"/>
    <w:rsid w:val="00DC5B7C"/>
    <w:rsid w:val="00DC611B"/>
    <w:rsid w:val="00DD076E"/>
    <w:rsid w:val="00DD2EA9"/>
    <w:rsid w:val="00DD6CA1"/>
    <w:rsid w:val="00DE0066"/>
    <w:rsid w:val="00DE03F7"/>
    <w:rsid w:val="00DE4FDC"/>
    <w:rsid w:val="00DF0821"/>
    <w:rsid w:val="00DF2F5B"/>
    <w:rsid w:val="00DF5B95"/>
    <w:rsid w:val="00DF6B7E"/>
    <w:rsid w:val="00E01598"/>
    <w:rsid w:val="00E018F3"/>
    <w:rsid w:val="00E01ED8"/>
    <w:rsid w:val="00E023FF"/>
    <w:rsid w:val="00E0345B"/>
    <w:rsid w:val="00E05099"/>
    <w:rsid w:val="00E056B9"/>
    <w:rsid w:val="00E061DB"/>
    <w:rsid w:val="00E06DA6"/>
    <w:rsid w:val="00E11477"/>
    <w:rsid w:val="00E131BB"/>
    <w:rsid w:val="00E167B8"/>
    <w:rsid w:val="00E20F40"/>
    <w:rsid w:val="00E21867"/>
    <w:rsid w:val="00E24224"/>
    <w:rsid w:val="00E25CD4"/>
    <w:rsid w:val="00E33B3A"/>
    <w:rsid w:val="00E34E8A"/>
    <w:rsid w:val="00E34F92"/>
    <w:rsid w:val="00E36CF5"/>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72C"/>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62A6"/>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3E75"/>
    <w:rsid w:val="00F54F7A"/>
    <w:rsid w:val="00F57DD6"/>
    <w:rsid w:val="00F61F4D"/>
    <w:rsid w:val="00F642AB"/>
    <w:rsid w:val="00F64B54"/>
    <w:rsid w:val="00F65C13"/>
    <w:rsid w:val="00F6783E"/>
    <w:rsid w:val="00F70C8A"/>
    <w:rsid w:val="00F71B59"/>
    <w:rsid w:val="00F72463"/>
    <w:rsid w:val="00F72724"/>
    <w:rsid w:val="00F736F0"/>
    <w:rsid w:val="00F74B03"/>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B7629"/>
    <w:rsid w:val="00FC00DB"/>
    <w:rsid w:val="00FC23FE"/>
    <w:rsid w:val="00FC3887"/>
    <w:rsid w:val="00FC433D"/>
    <w:rsid w:val="00FC6084"/>
    <w:rsid w:val="00FC7283"/>
    <w:rsid w:val="00FC73F2"/>
    <w:rsid w:val="00FD6384"/>
    <w:rsid w:val="00FE0C18"/>
    <w:rsid w:val="00FE54F4"/>
    <w:rsid w:val="00FE67D4"/>
    <w:rsid w:val="00FF09A2"/>
    <w:rsid w:val="00FF1AE9"/>
    <w:rsid w:val="00FF2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42C45"/>
  <w15:docId w15:val="{9BDBA47E-5C5F-40F2-8F95-5B8A19E8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8BDEE-801F-427F-9681-3EFBA623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3997</Words>
  <Characters>21986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3</cp:revision>
  <cp:lastPrinted>2018-07-04T01:52:00Z</cp:lastPrinted>
  <dcterms:created xsi:type="dcterms:W3CDTF">2018-07-06T22:53:00Z</dcterms:created>
  <dcterms:modified xsi:type="dcterms:W3CDTF">2018-07-06T22:59:00Z</dcterms:modified>
</cp:coreProperties>
</file>